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2</w:t>
      </w:r>
    </w:p>
    <w:p>
      <w:pPr>
        <w:pStyle w:val="Heading1"/>
      </w:pPr>
      <w:r>
        <w:t>AUY922 for Advanced ALK-positive NSCLC</w:t>
      </w:r>
    </w:p>
    <w:p>
      <w:pPr>
        <w:pStyle w:val="Heading2"/>
      </w:pPr>
      <w:r>
        <w:t>Clinical Trial: https://clinicaltrials.gov/study/NCT01752400</w:t>
      </w:r>
    </w:p>
    <w:p>
      <w:r>
        <w:t xml:space="preserve">      "eligibilityCriteria": "Inclusion Criteria:\n\n* Histologically or cytologically confirmed advanced NSCLC\n* Tumor characterized by abnormalities in ALK\n* Required to provide archival tissue in the form of 5 formalin fixed paraffin embedded sections\n* Have acquired resistance to treatment with an ALK-TKI\n* At least one measurable lesion as defined by RECIST criteria\n* Life expectancy of at least 12 weeks\n\nExclusion Criteria:\n\n* Pregnant or breastfeeding\n* Discontinued ALK TKI more than four weeks prior to enrollment\n* Unresolved diarrhea greater than or equal to CTCAE grade 1\n* Not willing to use double barrier methods of contraception\n* Prior anti-neoplastic treatment with any HSP90 or HDAC inhibitor compound\n* Have received cytoxic chemotherapy in the intervening period since discontinuation of an ALK-TKI\n* Have undergone major surgery within 2 weeks prior to starting study drug\n* Any concurrent or uncontrolled illness\n* Any known disorders due to a deficiency in bilirubin glucuronidation\n* Taking therapeutic doses of warfarin\n* Any serious cardiac disorders or abnormalities\n* Concurrent malignancies or invasive cancers diagnosed within the past 2 years except for adequately treated basal cell cancer of the skin or in situ cancers\n* Known to be HIV positive\n* Known hypersensitivity to any of the study drugs or their excipients\n* Participation in another clinical study within 30 days before the first study treatment",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an ALK gene mutation *might* be eligible, but more information is needed.  The inclusion criteria specify "Tumor characterized by abnormalities in ALK" and  "Have acquired resistance to treatment with an ALK-TKI".  Simply having the ALK mutation isn't enough.  The patient must also have already been treated with an ALK tyrosine kinase inhibitor (ALK-TKI) and developed resistance to it.  If the patient hasn't been treated with an ALK-TKI, they would not be eligible for this particular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