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Clinical Trials Data BRAF - Document 12</w:t>
      </w:r>
    </w:p>
    <w:p>
      <w:pPr>
        <w:pStyle w:val="Heading1"/>
      </w:pPr>
      <w:r>
        <w:t>Simvastatin and Panitumumab in Treating Patients With Advanced or Metastatic Colorectal Cancer</w:t>
      </w:r>
    </w:p>
    <w:p>
      <w:pPr>
        <w:pStyle w:val="Heading2"/>
      </w:pPr>
      <w:r>
        <w:t>Clinical Trial: https://clinicaltrials.gov/study/NCT01110785</w:t>
      </w:r>
    </w:p>
    <w:p>
      <w:r>
        <w:t xml:space="preserve">      "eligibilityCriteria": "DISEASE CHARACTERISTICS:\n\n* Diagnosis of colorectal cancer\n\n  * Advanced or metastatic disease\n* Failed prior fluorouracil-, oxaliplatin- and irinotecan-containing regimens\n\n  * In case of progressive disease within 6 months after start of adjuvant fluorouracil-, oxaliplatin-, and irinotecan-containing regimens, the adjuvant therapy is considered to be treatment for metastatic disease\n* Mutant-type k-ras status (mutation in codon 12, 13, or 61) on tumor material\n* Measurable disease according to RECIST criteria version 1.1\n* Progressive disease in the past 3 months according to RECIST criteria version 1.1\n* No symptomatic brain metastases, defined as any symptoms during the past 6 months\n\nPATIENT CHARACTERISTICS:\n\n* WHO performance status 0-2\n* WBC \u2265 2.0 x 10\\^9/L\n* ANC \u2265 1.5 x 10\\^9/L\n* Platelet count \u2265 100 x 10\\^9/L\n* Hemoglobin \u2265 9 g/dL\n* Serum bilirubin \u2264 1.5 times upper limit of normal (ULN)\n* AST/ALT \u2264 3 times ULN (\u2264 5 times ULN in case of liver metastases)\n* Creatinine clearance \u2265 60 mL/min\n* Magnesium normal\n* Calcium normal\n* Creatine phosphokinase \u2264 2.5 times ULN\n* Not pregnant or nursing\n* Not planning to become pregnant within 6 months after the end of study treatment\n* Fertile patients must use highly effective contraception during and for 6 months after completion of study therapy\n* No noncompliance in previous studies\n* No alcohol use \\&gt; 4 units/day or unwilling to abstain from use\n* No history of interstitial lung disease (e.g., pneumonitis or pulmonary fibrosis) or signs of interstitial lung disease on baseline CT scan\n* No clinically significant cardiovascular disease (including myocardial infarction, unstable angina, symptomatic congestive heart failure, or serious uncontrolled cardiac arrhythmia) \\&lt; 1 year prior to study\n* No symptomatic hypothyroidism\n* No history of toxicity during statin use\n\nPRIOR CONCURRENT THERAPY:\n\n* See Disease Characteristics\n* No prior EGFr-therapy, including monoclonal antibodies (e.g., panitumumab or cetuximab)\n* No concurrent verapamil, amiodarone, or dronedarone or unwilling to abstain from use",</w:t>
        <w:br/>
        <w:t xml:space="preserve">      "healthyVolunteers": false,</w:t>
        <w:br/>
        <w:t xml:space="preserve">      "sex": "ALL",</w:t>
        <w:br/>
        <w:t xml:space="preserve">      "minimumAge": "18 Years",</w:t>
        <w:br/>
        <w:t>"stdAges": [</w:t>
        <w:br/>
        <w:t>"ADULT",</w:t>
        <w:br/>
        <w:t>"OLDER_ADULT"</w:t>
        <w:br/>
        <w:t>]</w:t>
      </w:r>
    </w:p>
    <w:p>
      <w:r>
        <w:rPr>
          <w:color w:val="FF0000"/>
        </w:rPr>
        <w:t>Question:</w:t>
        <w:br/>
      </w:r>
      <w:r>
        <w:rPr>
          <w:color w:val="FF0000"/>
        </w:rPr>
        <w:t>Based on the following clinical trial information, would a patient with a BRAF gene mutation be eligible for the clinical trial?</w:t>
      </w:r>
    </w:p>
    <w:p>
      <w:r>
        <w:rPr>
          <w:color w:val="FF0000"/>
        </w:rPr>
        <w:t>Answer:</w:t>
        <w:br/>
      </w:r>
      <w:r>
        <w:rPr>
          <w:color w:val="FF0000"/>
        </w:rPr>
        <w:t>No. This trial specifically requires **mutant-type k-ras status (mutation in codon 12, 13, or 61)**.  While BRAF and KRAS mutations are both common in colorectal cancer, they are distinct and this trial only includes patients with a KRAS mutation.  A patient with a BRAF mutation would *not* be eligible.</w:t>
        <w:br/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