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18</w:t>
      </w:r>
    </w:p>
    <w:p>
      <w:pPr>
        <w:pStyle w:val="Heading1"/>
      </w:pPr>
      <w:r>
        <w:t>Genetic Risk Factors and Acquired Oncogenic Mutations of Melanoma</w:t>
      </w:r>
    </w:p>
    <w:p>
      <w:pPr>
        <w:pStyle w:val="Heading2"/>
      </w:pPr>
      <w:r>
        <w:t>Clinical Trial: https://clinicaltrials.gov/study/NCT00849407</w:t>
      </w:r>
    </w:p>
    <w:p>
      <w:r>
        <w:t xml:space="preserve">      "eligibilityCriteria": "Inclusion Criteria:\n\n* patients with or without melanoma\n\nExclusion Criteria:\n\n* HIV and Hepatitis C positive individuals.",</w:t>
        <w:br/>
        <w:t xml:space="preserve">      "healthyVolunteers": true,</w:t>
        <w:br/>
        <w:t xml:space="preserve">      "sex": "ALL",</w:t>
        <w:br/>
        <w:t xml:space="preserve">      "minimumAge": "18 Years",</w:t>
        <w:br/>
        <w:t>"stdAges": [</w:t>
        <w:br/>
        <w:t>"ADULT",</w:t>
        <w:br/>
        <w:t>"OLDER_ADULT"</w:t>
        <w:br/>
        <w:t>],</w:t>
        <w:br/>
        <w:t xml:space="preserve">      "studyPopulation": "Our goal is to recruit at least one thousand melanoma patients of any stage and one thousand controls in order to acquire a well sized cohort for identifying independent molecular markers in multivariate analyses (for statistical considerations see \"Statistical analysis\" on page 8). Patients who visit the out-door clinic of the Department of Dermatology at the Medical University of Vienna with any other diseases than melanoma, their spouses and spouses of melanoma patients will be asked to contribute as controls.",</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The information provided doesn't exclude patients with a BRAF mutation.  A patient with a BRAF mutation *and* melanoma would be eligible. A patient with a BRAF mutation *without* melanoma would also be eligible, as the inclusion criteria explicitly states "patients with or without melanoma".</w:t>
        <w:br/>
        <w:br/>
        <w:t>The only exclusion criteria mentioned are HIV and Hepatitis C positive status.  So, as long as the patient with the BRAF mutation is not HIV or Hepatitis C positive, and is 18 years or older, they would meet the stated eligibility requirements.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