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37</w:t>
      </w:r>
    </w:p>
    <w:p>
      <w:pPr>
        <w:pStyle w:val="Heading1"/>
      </w:pPr>
      <w:r>
        <w:t>Expanded Access Program With Nivolumab to Treat Melanoma</w:t>
      </w:r>
    </w:p>
    <w:p>
      <w:pPr>
        <w:pStyle w:val="Heading2"/>
      </w:pPr>
      <w:r>
        <w:t>Clinical Trial: https://clinicaltrials.gov/study/NCT02142218</w:t>
      </w:r>
    </w:p>
    <w:p>
      <w:r>
        <w:t xml:space="preserve">      "eligibilityCriteria": "For more information regarding BMS clinical trial participation, please visit www.BMSStudyConnect.com\n\nInclusion Criteria:\n\n* ECOG Performance Status of 0-1\n* Histologically confirmed malignant melanoma\n* Progressed on or after treatment with an anti-CTLA4\n\nExclusion Criteria:\n\n* Active brain metastases\n* Life Expectancy \\&lt;6 weeks\n* Subjects who received prior therapy targeting T-cell costimulation or checkpoint pathways except for Anti CTLA-4 therapy\n* Subjects with autoimmune disease",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mention BRAF mutation status** as either an inclusion or exclusion criterion.  Therefore, based on the information provided, it's **impossible to determine** if a patient with a BRAF mutation would be eligible.  They would need to check the detailed information at www.BMSStudyConnect.com or contact the study organizers.  The presence or absence of a BRAF mutation might be an important factor for this type of trial (melanoma), so further investigation is essential.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