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56</w:t>
      </w:r>
    </w:p>
    <w:p>
      <w:pPr>
        <w:pStyle w:val="Heading1"/>
      </w:pPr>
      <w:r>
        <w:t>Phase 2 Study of Neoadjuvant Vemurafenib in Melanoma Patients With Untreated Brain Metastases</w:t>
      </w:r>
    </w:p>
    <w:p>
      <w:pPr>
        <w:pStyle w:val="Heading2"/>
      </w:pPr>
      <w:r>
        <w:t>Clinical Trial: https://clinicaltrials.gov/study/NCT01781026</w:t>
      </w:r>
    </w:p>
    <w:p>
      <w:r>
        <w:t xml:space="preserve">      "eligibilityCriteria": "Inclusion Criteria:\n\n* Biopsy proven metastatic melanoma with the B-raf V600E or V600K mutations.\n* Untreated brain metastases\n* At least one cerebral metastasis that is not amenable to stereotactic radiosurgery (SRS) or surgical resection based on size or location OR four or more lesions\n* Patients may be symptomatic at the time of enrollment, but after any necessary local therapy and/or corticosteroids, the patient should be asymptomatic when vemurafenib is initiated.\n* Age \\&gt;18\n* Adequate organ function\n* ECOG performance status \\&lt; 3\n* No prior therapies with selective inhibitors of mutated BRAF; other prior therapies must have been administered at least 4 weeks before administration of vemurafenib\n* Life expectancy of at least 3 months\n* Understanding and willingness to consent\n* The use of corticosteroids to control cerebral edema or treat symptoms will be allowed\n* A history of whole brain radiotherapy for brain metastases is allowed, but any stable lesion that was present at the time of WBRT will NOT be considered evaluable. A minimum of 1 week break will be required between prior WBRT and initiation of vemurafenib therapy.\n\nExclusion Criteria:\n\n* Presence of leptomeningeal disease based on positive CSF cytology.\n* History or presence of clinically significant ventricular or atrial dysrhythmias \u2265 Grade 2 (NCI CTCAE, v4.0), Corrected QT (QTc) interval \\&gt;450 ms at baseline or history of congenital long QT syndrome\n* Uncontrolled medical illness, such as uncontrolled infection, congestive heart failure and MI within 2 months.\n* Second active, untreated malignancy, which is likely to result in the patient's demise prior to death from uncontrolled melanoma CNS metastases. This will be determined on a case by case basis by the PIs.\n* Unwillingness to undergo monitoring for a secondary malignancy including clinical dermatologic examinations and head and neck examinations and serial CT scans.",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*just* a BRAF gene mutation is **not automatically eligible**.  They need a BRAF V600E *or* V600K mutation specifically.  Having any other BRAF mutation would exclude them.</w:t>
        <w:br/>
        <w:br/>
        <w:t>In addition to the specific BRAF mutation, they must also meet *all* other inclusion criteria and *none* of the exclusion criteria to be 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