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113</w:t>
      </w:r>
    </w:p>
    <w:p>
      <w:pPr>
        <w:pStyle w:val="Heading1"/>
      </w:pPr>
      <w:r>
        <w:t>The Role of Positron Emission Tomography (PET) During Erlotinib Treatment for Non-small Cell Lung Cancer</w:t>
      </w:r>
    </w:p>
    <w:p>
      <w:pPr>
        <w:pStyle w:val="Heading2"/>
      </w:pPr>
      <w:r>
        <w:t>Clinical Trial: https://clinicaltrials.gov/study/NCT01000428</w:t>
      </w:r>
    </w:p>
    <w:p>
      <w:r>
        <w:t xml:space="preserve">      "eligibilityCriteria": "Inclusion Criteria:\n\n* \\&gt; 18 years of age\n* Histologically documented non-small cell lung cancer with metastasis (Stage IV) or locally advanced (Stage IIIB) with malignant effusion.\n* At least 1 measurable lesion as defined by RECIST. All target lesions must have a unidirectional diameter of at least 1cm. Baseline measurements must be compared within 4 weeks prior to enrollment.\n* ECOG PS 0-2\n* At least 3 weeks since the 1st line systemic therapy regimen prior to enrollment. Patients must have recovered to NCI CTCAE v3.0 grade I from all toxicities. But 1st line erlotinib treatment is also allowed.\n* At least 1 week since the last radiotherapy. Patients must have recovered from all acute toxicities from radiotherapy.\n* Patients must have adequate hematologic, renal and liver function as defined by Hb \\&gt; 9g/dL, neutrophils \\&gt; 1000/mm3, platelets \\&gt; 50,000/mm3, creatinine \\&lt; 2mg/dL, and AST (SGOT) and/or ALT (SGPT) \\&lt; 5 x UNL (upper normal limit).\n* Willingness and ability to comply with scheduled visits, treatment plans, laboratory tests and other study procedures.\n* Written and voluntary informed consent understood, signed and dated.\n\nExclusion Criteria:\n\n* Prior EGFR TKI treatment.\n* Symptomatic brain metastasis. Brain metastases stable \\&lt; 2 weeks before dosing or requiring concurrent steroid treatment or with clinical symptoms.\n* Major surgery within 3 weeks prior to study enrollment.\n* Previous (less than 3 years ago) or current malignancies at sites other than curatively treated in situ carcinoma of cervix, or basal or squamous cell carcinoma of the skin.\n* Severe medical illness or active infection that would impair the ability to receive erlotinib.\n* Pregnancy or breast feeding.",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"Histologically documented non-small cell lung cancer with metastasis (Stage IV) or locally advanced (Stage IIIB) with malignant effusion.",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**excludes** patients with prior EGFR TKI treatment.  Since EGFR TKIs are specifically designed to target EGFR mutations, it's highly likely that someone with a known EGFR mutation would have already received this type of targeted therapy.  Therefore, they would likely be ineligible for this particular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