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117</w:t>
      </w:r>
    </w:p>
    <w:p>
      <w:pPr>
        <w:pStyle w:val="Heading1"/>
      </w:pPr>
      <w:r>
        <w:t>Phase II Trial of Double Dose of Icotinib in Treating Brain Metastases From Non-small Cell Lung Cancer</w:t>
      </w:r>
    </w:p>
    <w:p>
      <w:pPr>
        <w:pStyle w:val="Heading2"/>
      </w:pPr>
      <w:r>
        <w:t>Clinical Trial: https://clinicaltrials.gov/study/NCT01688713</w:t>
      </w:r>
    </w:p>
    <w:p>
      <w:r>
        <w:t xml:space="preserve">      "eligibilityCriteria": "Inclusion Criteria:\n\n* Histological or cytologic diagnosis of NSCLC\n* Patients with disease progression after local treatment(WBRT and/or SRS) combined with Icotinib treatment.\n* Patients with EGFR mutation or the lesions that remains stable for more than 3 months after local treatment(WBRT and/or SRS) combined with Icotinib treatment.\n* ECOG performance status 0-2\n* Doctors consider the patients will not benefit from local treatment(WBRT and/or SRS)\n* Expected survival of greater than 3 months\n* Age: 18-75 years\n* The patients with key organs maintenance of basic function: Hemoglobin \u2265 9g/dL, White Blood Cell \u2265 3\u00d7109/L, Neutrophil count \u2265 1.5\u00d7109/L, platelets \u2265 80\u00d7109/L, total bilirubin \\&lt; 1.5 times of the upper normal values, Alanine transaminase (ALT) and aspartate transaminase (AST) \\&lt; 2.5 of the upper normal values, the serum creatinine \\&lt; 1.5 times of the upper normal values\n* Signed informed consent document on file.\n\nExclusion Criteria:\n\n* Brain metastasis without local treatment before\n* Patients without the treatment of Icotinib before or the therapeutic time less than 3 months\n* More than 3 extracranial organs have metastatic lesions\n* The patient with other type malignant tumors before\n* The patient with fertility capacity, but without contraceptive application",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an EGFR mutation *could* be eligible, but having the mutation alone is not enough.  They must also meet *one* of the following two criteria related to Icotinib treatment and local treatment (WBRT and/or SRS):</w:t>
        <w:br/>
        <w:br/>
        <w:t>1. **Disease progression:**  They have experienced disease progression *after* receiving both local treatment (WBRT and/or SRS) *and* Icotinib treatment.</w:t>
        <w:br/>
        <w:t>2. **Stable disease:** Their lesions have remained stable for more than 3 months *after* receiving both local treatment (WBRT and/or SRS) *and* Icotinib treatment.</w:t>
        <w:br/>
        <w:br/>
        <w:t>In addition to one of the above, they must *also* meet all the other inclusion criteria (e.g., NSCLC diagnosis, ECOG performance status, expected survival, age, organ function, informed consent) and *not* meet any of the exclusion criteria (e.g., no prior local treatment for brain metastasis, prior Icotinib treatment for at least 3 months, no more than 3 extracranial metastases, no prior malignancies, contraception if applicable).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