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146</w:t>
      </w:r>
    </w:p>
    <w:p>
      <w:pPr>
        <w:pStyle w:val="Heading1"/>
      </w:pPr>
      <w:r>
        <w:t>Sunitinib in Never-Smokers With Lung Adenocarcinoma</w:t>
      </w:r>
    </w:p>
    <w:p>
      <w:pPr>
        <w:pStyle w:val="Heading2"/>
      </w:pPr>
      <w:r>
        <w:t>Clinical Trial: https://clinicaltrials.gov/study/NCT01829217</w:t>
      </w:r>
    </w:p>
    <w:p>
      <w:r>
        <w:t xml:space="preserve">      "eligibilityCriteria": "Inclusion Criteria:\n\n* Histologically or cytologically confirmed advanced (stage IV or recurrent) non-small cell lung cancer\n* Adenocarcinoma histology of any variant, including adenosquamous histology\n* Wild-type for mutations in EGFR, KRAS and ALK\n* Must have \\&lt; 100 cigarettes smoked lifetime OR known to harbor a RET rearrangement OR another potentially targetable genomic alteration as defined per protocol\n* Disease must be measureable per RECIST 1.1\n* At least one prior systemic therapy (adjuvant or palliative)\n* 18 years or older\n* Life expectancy of greater than 4 weeks\n* Adequate ECOG performance status 0 or 1\n* Adequate organ function as defined in the protocol\n* Adequate tumor tissue for the correlative analyses on study, or must undergo a biopsy to obtain adequate tissue\n\nExclusion Criteria:\n\n* Pregnant or breastfeeding\n* Chemotherapy within 4 weeks of entering study, or lack of recover from adverse events to grade 1 or less due to systemic agents administered more than 4 weeks earlier\n* Radiation therapy within 2 weeks prior to entering study\n* Major surgery within 4 weeks prior to entering the study\n* Receiving any other investigational agents\n* Known untreated, symptomatic or progressive brain metastases; presence of carcinomatous meningitis; history of intracranial hemorrhage or brain metastases requiring chronic steroids\n* History of allergic reactions attributed to compounds of similar chemical or biologic composition to sunitinib\n* Use of certain inhibitors and inducers of CYP3A4\n* Grade 3 or 4 hemoptysis or hemorrhage within 4 weeks prior to study entry\n* History of significant bleeding disorder unrelated to cancer\n* Poorly controlled hypertension\n* Severe cardiovascular disease\n* Prolongation of corrected QT interval\n* History of a different malignancy except: cervical cancer in situ, basal or squamous cell carcinoma of the skin, low risk centralized prostate cancer\n* HIV positive on combination antiretroviral therapy",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"Wild-type for mutations in EGFR, KRAS and ALK".  A patient *with* an EGFR mutation would be excluded.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