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17</w:t>
      </w:r>
    </w:p>
    <w:p>
      <w:pPr>
        <w:pStyle w:val="Heading1"/>
      </w:pPr>
      <w:r>
        <w:t>Smoking Cessation on the Human Airway: Mucus Secretion, Inflammatory and Proteomic Profile in Nose and miRNAs in Blood</w:t>
      </w:r>
    </w:p>
    <w:p>
      <w:pPr>
        <w:pStyle w:val="Heading2"/>
      </w:pPr>
      <w:r>
        <w:t>Clinical Trial: https://clinicaltrials.gov/study/NCT02136550</w:t>
      </w:r>
    </w:p>
    <w:p>
      <w:r>
        <w:t xml:space="preserve">      "eligibilityCriteria": "Inclusion Criteria:\n\n* 36 subjects, male or female, aged between 18 and 70 years recruited at Medical School University of Sao Paulo and the Smoking Cessation Program of the Clinics Hospital\n\nExclusion Criteria:\n\n* inability to taste saccharin, nasal surgery, infection in the last 30 days (before the study)",</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mention EGFR gene mutation status as either an inclusion or exclusion criterion.  Therefore, having an EGFR mutation *doesn't automatically disqualify* a patient.  They could potentially be eligible if they also meet the other inclusion criteria (age, location, ability to taste saccharin, no recent nasal surgery or infection) and don't meet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