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29</w:t>
      </w:r>
    </w:p>
    <w:p>
      <w:pPr>
        <w:pStyle w:val="Heading1"/>
      </w:pPr>
      <w:r>
        <w:t>Definitive Radiochemotherapy Plus/Minus Cetuximab in Unresectable Locally Advanced Esophageal Cancer</w:t>
      </w:r>
    </w:p>
    <w:p>
      <w:pPr>
        <w:pStyle w:val="Heading2"/>
      </w:pPr>
      <w:r>
        <w:t>Clinical Trial: https://clinicaltrials.gov/study/NCT01787006</w:t>
      </w:r>
    </w:p>
    <w:p>
      <w:r>
        <w:t xml:space="preserve">      "eligibilityCriteria": "Inclusion Criteria:\n\n* Dated and signed written informed consent\n* Male or female patients between 18 years and 75 years; patients \\&gt; 75 years if their karnofsky performance status is \u2265 80.\n* Histologically proven squamous cell carcinoma or adenocarcinoma of the esophagus which is not curatively resectable. Resectability has to be defined by a surgeon before radiochemotherapy. The tumor is considered unresectable due to T-stage, N-stage, performance status, nutritional status, co-morbidity (pulmonal function, other), tumor location upper third or other reasons\n* Karnofsky Performance Status \u2265 70\n* Women of child-bearing potential must have a negative pregnancy test\n* Adequate cardial-, pulmonal- and ear function\n\nAdequate bone marrow function:\n\n* leukocytes \u2265 3.0 x 10\\^9/L\n* neutrophiles \u2265 1.5 x 10\\^9/L\n* thrombocytes \u2265 100 x 10\\^9/L\n* hemoglobin \u2265 10.0 g/dl\n\nAdequate liver function:\n\n* bilirubin \u2264 2.0 mg/dl\n* transaminases (serum glutamic pyruvic transaminase (SGPT), serum glutamic oxaloacetic transaminase (SGOT), gamma-GT) \u2264 3 x upper limit of normal (ULN)\n\nAdequate kidney function:\n\n* serum creatinine \u2264 1.5 mg/dl\n* creatinine clearance \u2265 50 ml/min according to Cockcroft-Gault Formula\n* no known allergies against chimeric antibodies\n* effective contraception for male and female patients if there is a risk of conception\n\nExclusion Criteria:\n\n* distant metastasis\n* previous treatment of esophageal cancer\n* previous therapy with monoclonal antibodies and / or EGFR-targeted therapy\n* previous second malignancies with exception of a history of a previous curatively treated basal cell carcinoma of the skin or pre-invasive cervix carcinoma\n* serious concomitant disease or medical condition\n* lung function: forced expiratory volume in one second (FEV1)) \\&lt; 1.1\n* clinically relevant coronary artery diseases or known myocardial infarction within the last 12 months or ventricular ejection fraction (LVEF) below normal\n* every active dermatological condition \\&gt; grade 1\n* contraindications to receive cisplatin, 5-FU or cetuximab\n* concurrent treatment with other experimental drugs or participation in another clinical trial within 30 days before study start\n* patient pregnant or breast feeding\n* known drug abuse, medication abuse, alcohol abuse\n* social situations limiting the compliance with the study requirements",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for esophageal cancer.  The eligibility criteria **do not mention anything about EGFR mutations**.  Therefore, having an EGFR mutation *itself* does not disqualify a patient. However, the patient still needs to meet *all* other inclusion criteria and *none* of the exclusion criteria to be eligible.  Specifically, they would need to have esophageal cancer (squamous cell carcinoma or adenocarcinoma) that is not curatively resectable and have not received previous EGFR-targeted therapy.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