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EGFR - Document 43</w:t>
      </w:r>
    </w:p>
    <w:p>
      <w:pPr>
        <w:pStyle w:val="Heading1"/>
      </w:pPr>
      <w:r>
        <w:t>A Study Of Dacomitinib (PF-00299804) In Patients With Advanced Non-Small Cell Lung Cancer</w:t>
      </w:r>
    </w:p>
    <w:p>
      <w:pPr>
        <w:pStyle w:val="Heading2"/>
      </w:pPr>
      <w:r>
        <w:t>Clinical Trial: https://clinicaltrials.gov/study/NCT01858389</w:t>
      </w:r>
    </w:p>
    <w:p>
      <w:r>
        <w:t xml:space="preserve">      "eligibilityCriteria": "Inclusion Criteria:\n\n* Evidence of histologically confirmed, advanced NSCLC (stage IIIB/IV).\n* Evidence of T790M mutation to enroll in Cohort A.\n* Evidence of measurable disease by radiographic technique.\n* Adequate organ function.\n\nExclusion Criteria:\n\n* Patients with T790M mutation who stopped any prior EGFR-directed therapy without evidence of disease progression.\n* Symptomatic brain metastases.\n* Uncontrolled or significant cardiovascular disease.\n* Pregnant or breastfeeding.",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EGFR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This trial requires evidence of a **T790M mutation**, not just any EGFR mutation.  Therefore, a patient with a general EGFR mutation but *without* the T790M mutation would *not* be eligible for this particular trial.  They would only be eligible if they specifically had the T790M mutation in addition to their other EGFR mutation.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