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55</w:t>
      </w:r>
    </w:p>
    <w:p>
      <w:pPr>
        <w:pStyle w:val="Heading1"/>
      </w:pPr>
      <w:r>
        <w:t>BKM120 in Esophageal Squamous Cell Carcinoma After Failure of First Line Chemotherapy</w:t>
      </w:r>
    </w:p>
    <w:p>
      <w:pPr>
        <w:pStyle w:val="Heading2"/>
      </w:pPr>
      <w:r>
        <w:t>Clinical Trial: https://clinicaltrials.gov/study/NCT01806649</w:t>
      </w:r>
    </w:p>
    <w:p>
      <w:r>
        <w:t xml:space="preserve">      "eligibilityCriteria": "Inclusion Criteria:\n\n* Patient has provided a signed Informed Consent Form (ICF) obtained prior to any screening procedure.\n* Age \u2265 18 years old\n* Histologically confirmed diagnosis of esophageal squamous cell carcinoma and available archival tissue for evaluation of further studies.\n* Metastatic or unresectable disease\n* Received one prior chemotherapy or biological therapy regimen for unresectable or metastatic disease\n* More than 30 days since prior chemotherapy, surgery, radiotherapy, or investigational agents\n* Measurable disease in at least 1 diameter by CT scan or MRI as per RECIST 1.1 criteria\n* No evidence of brain metastasis\n* ECOG \u2264 2\n* Patient has adequate bone marrow and organ function\n\n  * Absolute Neutrophil Count (ANC) \u2265 1.5 x 109/L\n  * Platelets \u2265 100 x 109/L\n  * Hemoglobin \u2265 9.0 g/dL\n  * INR \u2264 2\n  * Potassium, calcium, magnesium within normal limits for the institution\n  * Serum Creatinine \u2264 1.5 x ULN or Creatinine clearance \\&gt; 60 mL\n  * AST and ALT not more than 2.5 times ULN (not more than 5.0 times ULN if there is liver metastasis)\n  * Serum bilirubin within normal range (or \u2264 1.5 x ULN if liver metastases are present; or total bilirubin \u2264 3.0 x ULN with direct bilirubin within normal range in patients with well documented Gilbert Syndrome)\n  * Fasting serum glucose \\&lt; 1.5 times ULN\n\nExclusion Criteria:\n\n* Patient has received previous treatment with PI3K inhibitors\n* Patient has symptomatic CNS metastases\n* Patients with controlled and asymptomatic CNS metastases may participate in this trial. As such, the patient must have completed any prior treatment for CNS metastases \\&gt; 28 days (including radiotherapy and/or surgery) prior to enrollment in this study and should not be receiving chronic corticosteroid therapy for the CNS metastases.\n* Patient has a concurrent malignancy or has a malignancy within 5 years of study enrollment, (with the exception of nonmelanoma skin cancer or cervical carcinoma in situ.\n* Patient has any of the following mood disorders as judged by the Investigator or a Psychiatrist, or meets the cut-off score of \u2265 10 in the PHQ-9 or a cut-off of \u2265 15 in the GAD-7 mood scale, respectively, or selects a positive response of '1, 2, or 3' to question number 9 regarding potential for suicidal thoughts ideation in the PHQ-9 (independent of the total score of the PHQ-9)\n* Medically documented history of or active major depressive episode, bipolar disorder (I or II), obsessive-compulsive disorder, schizophrenia, a history of suicidal attempt or ideation, or homicidal ideation (immediate risk of doing harm to others) \u2265 CTCAE grade 3 anxiety\n* Patient is concurrently using other approved or investigational antineoplastic agent\n* Patient has had major surgery within 28 days prior to starting study drug or has not recovered from major side effects of the surgery\n* Patient has poorly controlled diabetes mellitus(HbA1c \\&gt; 8 %)\n* Patient has active cardiac disease including any of the following:\n\n  * LVEF \\&lt; 50%\n  * QTc \\&gt; 480 msec on screening ECG (using the QTcF formula)\n  * Angina pectoris that requires the use of anti-anginal medication\n  * Ventricular arrhythmias except for benign premature ventricular contractions\n* Supraventricular and nodal arrythmias requiring a pacemaker or not controlled with medication\n* Conduction abnormality requiring a pacemaker\n* Valvular disease with documented compromise in cardiac function\n* Symptomatic pericarditis\n* Patient has a history of cardiac dysfunction including any of the following;\n\n  * Myocardial infarction within the last 6 months, documented by persistent elevated cardiac enzymes or persistent regional wall abnormalities on assessment of LVEF function\n  * History of documented congestive heart failure (New York Heart Association functional classification III-IV)\n* Documented cardiomyopathy\n* Patient is currently receiving treatment with QT prolonging medication known to have a risk to induce Torsades de Pointes, and the treatment cannot be discontinued or switched to a different medication prior to starting study drug\n* Inability to swallow, impaired gastrointestinal (GI) function, or GI disease that would significantly alter the absorption of study drugs or preclude the use of oral medications\n* Patient has other concurrent severe and/or uncontrolled medical condition that would, in the investigator's judgment contraindicate her participation in the clinical study (e.g.,chronic pancreatitis, active chronic hepatitis etc.)\n* Patient is currently being treated with drugs known to be moderate and strong inhibitors or inducers of isoenzyme CYP3A, and the treatment cannot be discontinued or switched to a different medication prior to starting study drug.",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specifically for esophageal squamous cell carcinoma.  The eligibility criteria **do not mention EGFR mutations**, neither as an inclusion nor an exclusion criterion.  Therefore, having an EGFR mutation wouldn't automatically disqualify a patient, but it also doesn't make them eligible.  They would need to meet *all* other inclusion criteria and *none* of the exclusion criteria to be considered.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