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83</w:t>
      </w:r>
    </w:p>
    <w:p>
      <w:pPr>
        <w:pStyle w:val="Heading1"/>
      </w:pPr>
      <w:r>
        <w:t>Everolimus Post Orthotopic Liver Transplant</w:t>
      </w:r>
    </w:p>
    <w:p>
      <w:pPr>
        <w:pStyle w:val="Heading2"/>
      </w:pPr>
      <w:r>
        <w:t>Clinical Trial: https://clinicaltrials.gov/study/NCT01998789</w:t>
      </w:r>
    </w:p>
    <w:p>
      <w:r>
        <w:t xml:space="preserve">      "eligibilityCriteria": "Inclusion Criteria:\n\n* Ability and willingness to provide informed consent and adhere to study regimen\n* Recipients of primary liver transplant from deceased or living donor\n* 18 years of age or greater\n* Lab Model For End-Stage Liver Disease (MELD) score \u2264 30\n* Abbreviated Modification of Diet in Renal Disease (MDRD) eGFR \u2265 30 mL/min/1.73\n\nKey Exclusion Criteria:\n\n* Recipient of multiple solid or organ transplant, or have previously received and organ transplant\n* Women of child-bearing potential unless they are willing to participate in adequate contraception methods as outlined in the study.\n* HIV infection (results obtained 6 months prior to screening is acceptable)\n\nKey Exclusion-Baseline/ Randamization\n\n* Severe hypercholesterolemia (\\&gt; 350 mg/dL) or hypertriglyceridemia (\\&gt; 500 mg/dL) within 30 days prior to baseline.\n* Thrombocytopenia (platelets \\&lt; 50,000/mm3)\n* Absolute neutrophil count of \\&lt; 1000/mm3 or white blood cell count of \\&lt; 2000/mm3\n* Subjects in a critical care unit requiring life support measures such as mechanical ventilation, dialysis, requirement of vasopressor agents\n* Liver allograft is functioning at an unacceptable level as defined by the Aspartate Aminotransferase (AST), Alanine Aminotransferase (ALT), Total Bilirubin levels \\&gt; 3 times upper limit of normal (ULN) and Alkaline Phosphatase (AlkP) and Gamma-glutamyltransferase (GGT) levels \\&gt; 5 times ULN\n* Diagnosis of autoimmune hepatitis, primary biliary cirrhosis and primary sclerosing cholangitis\n* Hepatocellular carcinoma with evidence of macrovascular invasion on explanted liver or evidence of extrahepatic spread\n* Inability to take medications by mouth\n* Renal insufficiency, as defined by abbreviated MDRD eGFR \\&lt; 30 mL/min/1.73m2, or requirement of dialysis, that does not recover prior to baseline\n* Episode of acute rejection requiring antibody therapy or more than one steroid treated episode of acute rejection\n* Subjects with a confirmed spot urine protein/creatinine ratio that indicates \u22651g/24h of proteinuria.\n* Subtherapeutic trough levels of tacrolimus during the week prior to baseline (subject must have at least one tacrolimus level \u2265 8 ng/mL)\n* The presence of thrombosis via Doppler ultrasound of the major hepatic arteries, major hepatic veins, portal vein and inferior vena cava.\n* Presence of clinically significant wound",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do **not** mention EGFR gene mutations.  Therefore, having an EGFR mutation would *not* automatically exclude a patient from this trial.  However, they would still need to meet all other inclusion criteria and not have any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