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91</w:t>
      </w:r>
    </w:p>
    <w:p>
      <w:pPr>
        <w:pStyle w:val="Heading1"/>
      </w:pPr>
      <w:r>
        <w:t>Safety and Efficacy of SNX-5422 in Human Epidermal Growth Factor Receptor 2 (HER2) Positive Cancers</w:t>
      </w:r>
    </w:p>
    <w:p>
      <w:pPr>
        <w:pStyle w:val="Heading2"/>
      </w:pPr>
      <w:r>
        <w:t>Clinical Trial: https://clinicaltrials.gov/study/NCT01848756</w:t>
      </w:r>
    </w:p>
    <w:p>
      <w:r>
        <w:t xml:space="preserve">      "eligibilityCriteria": "Inclusion Criteria:\n\n* Males or non-pregnant, non-breastfeeding females .\n* Confirmed diagnosis of locally advanced or metastatic breast, esophagogastric, urothelial, or non-small cell lung cancer.\n* Histological or cytological confirmed carcinoma with HER2 amplification (IHC 3+ or FISH+ (\\&gt;2 HER2:CEP17)).\n* Subjects with advanced or metastatic breast cancer must have received no more than 5 prior lines of anticancer therapy, including trastuzumab (but excluding hormonal treatments).\n* Subjects with advanced or metastatic HER2 positive esophagogastric cancer must have received no more than 5 prior lines of anticancer therapy, including trastuzumab.\n* Subjects with advanced or metastatic, urothelial carcinoma or non-small cell lung cancer must have received at least one, but no more than 5 prior lines of anticancer therapy.\n* Measurable disease using Response Evaluation Criteria in Solid Tumors (RECIST) 1.1.\n* Life expectancy of at least 3 months.\n* Karnofsky performance score \u226570.\n* Adequate baseline laboratory assessments\n* Recovered from toxicities of previous anticancer therapy, with the exception of CTCAE grade 1 sensory neuropathy.\n\nExclusion Criteria:\n\n* Subjects with symptomatic central nervous system (CNS) metastases who are neurologically unstable\n* Prior treatment with any Hsp90 inhibitor.\n* Surgery, radiotherapy, or lesion ablative procedure to the only area of measurable disease.\n* Major surgery within 4 weeks prior to first dose of SNX-5422.\n* Treatment with chronic immunosuppressants (e.g., cyclosporine following transplantation).\n* The need for treatment with medications with clinically-relevant metabolism by the cytochrome P450 (CYP) 3A4 isoenzyme within 3 hours before or after administration of SNX-5422.\n* Screening ECG QTc interval \u2265470 msec for females, \u2265450 msec for males.\n* At increased risk for developing prolonged QT interval\n* Patients with chronic diarrhea or with grade 2 or greater diarrhea despite maximal medical management.\n* Gastrointestinal diseases or conditions that could affect drug absorption, including gastric bypass.\n* Gastrointestinal diseases that could alter the assessment of safety, including irritable bowel syndrome, ulcerative colitis, Crohn's disease, or hemorrhagic coloproctitis.\n* History of documented adrenal dysfunction not due to malignancy.\n* Known seropositive for human immunodeficiency virus (HIV) or hepatitis C virus (HCV).\n* History of chronic liver disease.\n* Active hepatitis A or B.\n* Current alcohol dependence or drug abuse.\n* Treatment with other anticancer drugs within 28 days or 5 half-lives of anticancer therapy (whichever is shorter), and treatment with any other investigational agent is prohibited from 30 days prior to the first dose of SNX-5422 and throughout the study\n* Glaucoma, retinitis pigmentosa, macular degeneration, or any retinal changes detected by ophthalmological examination.\n* Other serious concurrent illness or medical condition.\n* Psychological, social, familial, or geographical reasons that would hinder or prevent compliance with the requirements of the protocol or compromise the informed consent process.",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**HER2 amplification** (IHC 3+ or FISH+) for eligibility.  EGFR mutation is not mentioned in the eligibility criteria. Therefore, having an EGFR mutation alone would **not** qualify a patient for this trial.  They would need to also have a HER2 amplified cancer of one of the specified types (breast, esophagogastric, urothelial, or non-small cell lung cancer) and meet all other inclusion and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