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96</w:t>
      </w:r>
    </w:p>
    <w:p>
      <w:pPr>
        <w:pStyle w:val="Heading1"/>
      </w:pPr>
      <w:r>
        <w:t>Phase 2 Study of AUY922 in NSCLC Patients With Exon 20 Insertion Mutations in EGFR</w:t>
      </w:r>
    </w:p>
    <w:p>
      <w:pPr>
        <w:pStyle w:val="Heading2"/>
      </w:pPr>
      <w:r>
        <w:t>Clinical Trial: https://clinicaltrials.gov/study/NCT01854034</w:t>
      </w:r>
    </w:p>
    <w:p>
      <w:r>
        <w:t xml:space="preserve">      "eligibilityCriteria": "Inclusion Criteria:\n\n* Histologically or cytologically confirmed stage IV or recurrent NSCLC\n* Measurable disease by RECIST 1.0\n* Must have received at least one prior line of therapy for advanced lung cancer (no maximum number)\n* Life expectancy of at least 12 weeks\n\nExclusion Criteria:\n\n* Pregnant or breastfeeding\n* Radiation within 2 weeks\n* Cytotoxic chemotherapy or monoclonal antibodies within 4 weeks\n* EGFR tyrosine kinase inhibitor within 2 weeks\n* Other small molecule inhibitor within 2 weeks\n* Experimental treatment within 30 days\n* Prior treatment with any HSP90 or HDAC inhibitor compound\n* Known and untreated brain metastases\n* History of allergic reactions attributed to compounds of similar chemical or biologic composition to AUY922\n* Unresolved diarrhea greater than or equal to CTCAE version 4, grade 1\n* Major surgery within 2 weeks of starting study drug or have not recovered from side effects of surgery\n* Known disorders due to a deficiency in bilirubin glucuronidation\n* Requiring use of therapeutic doses of warfarin (Coumadin)\n* History of long QT syndrome\n* History of clinically manifest ischemic heart disease, heart failure or left ventricular dysfunction\n* Clinically significant ECG abnormalities\n* Other clinically significant heart disease\n* Currently receiving treatment with any medication which has a relative risk of prolonging the QTc interval or inducing Torsades de Pointes\n* On a cardiac pacemaker\n* Concurrent malignancies or invasive cancers diagnosed within 3 years except for adequately treated basal cell cancer of the skin or in situ cancer of the cervix\n* Known to be HIV positive",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criteria **do not exclude** patients with EGFR mutations.  While the exclusion criteria list several timeframes related to prior targeted therapies (including EGFR TKIs), having the mutation itself is not a barrier to entry.  In fact, some trials specifically target patients *with* EGFR mutations.  This trial allows patients who have had prior EGFR TKI treatment as long as it was stopped at least 2 weeks prior to enrollment.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