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99</w:t>
      </w:r>
    </w:p>
    <w:p>
      <w:pPr>
        <w:pStyle w:val="Heading1"/>
      </w:pPr>
      <w:r>
        <w:t>Dual Epidermal Growth Factor Receptor Inhibition With Erlotinib and Panitumumab With or Without Chemotherapy for Advanced Colorectal Cancer</w:t>
      </w:r>
    </w:p>
    <w:p>
      <w:pPr>
        <w:pStyle w:val="Heading2"/>
      </w:pPr>
      <w:r>
        <w:t>Clinical Trial: https://clinicaltrials.gov/study/NCT00940316</w:t>
      </w:r>
    </w:p>
    <w:p>
      <w:r>
        <w:t xml:space="preserve">      "eligibilityCriteria": "DISEASE CHARACTERISTICS:\n\n* Histologically confirmed colorectal cancer\n\n  * Metastatic disease\n\n    * Biopsy of either the primary cancer or metastatic site required\n  * Tumor expressing wild-type Kras mutations\n* Progressive disease within 3 months after treatment with first-line fluorouracil (5-FU) and oxaliplatin-based chemotherapy OR evidence of metastatic disease within 6 months of completing adjuvant therapy with 5-FU and oxaliplatin\n* Measurable disease defined as \u2265 1 lesion that can be accurately measured in \u2265 1 dimension (longest diameter to be recorded) as \u2265 20 mm with conventional techniques OR as \u2265 10 mm with spiral CT scan\n\nPATIENT CHARACTERISTICS:\n\n* ECOG performance status 0-2\n* Life expectancy \\&gt; 6 months\n* ANC \\&gt; 1,500/mm\\^3\n* Platelet count \\&gt; 100,000/mm\\^3\n* Hemoglobin \u2265 9 g/dL\n* Creatinine \\&lt; 1.5 times upper limit of normal (ULN)\n* Bilirubin \\&lt; 1.5 times ULN (or \\&lt; 2 mg/dL)\n* AST and/or ALT \\&lt; 3 times ULN (\\&lt; 5 times ULN with liver metastases)\n* Not pregnant or nursing\n* Negative pregnancy test\n* Fertile patients must use effective contraception\n* No concurrent malignancy requiring therapy except minor surgery for non-melanoma skin cancer removal\n* No interstitial lung disease with symptoms (e.g., dyspnea or cough) including any of the following significant conditions:\n\n  * Parenchymal lung disease\n  * Metastatic disease\n  * Pulmonary infections\n\nPRIOR CONCURRENT THERAPY:\n\n* See Disease Characteristics\n* No prior EGFR inhibitors, irinotecan hydrochloride, or other second-line chemotherapy regimens\n* More than 4 weeks since prior radiotherapy\n* No other concurrent investigational agents\n* No other concurrent anticancer treatment modalities (e.g., radiotherapy)",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patient would *not* be eligible.  The eligibility criteria specifically require "Tumor expressing **wild-type Kras mutations**".  This means the patient *cannot* have other mutations like EGFR mutations in the Kras gene.  The trial is looking for patients with colorectal cancer that *don't* have Kras mutations.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