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52</w:t>
      </w:r>
    </w:p>
    <w:p>
      <w:pPr>
        <w:pStyle w:val="Heading1"/>
      </w:pPr>
      <w:r>
        <w:t>S9313A Protein Expression Analysis of Breast Cancer Tissue Microarrays From Clinical Trial SWOG-9313</w:t>
      </w:r>
    </w:p>
    <w:p>
      <w:pPr>
        <w:pStyle w:val="Heading2"/>
      </w:pPr>
      <w:r>
        <w:t>Clinical Trial: https://clinicaltrials.gov/study/NCT00896727</w:t>
      </w:r>
    </w:p>
    <w:p>
      <w:r>
        <w:t xml:space="preserve">      "eligibilityCriteria": "DISEASE CHARACTERISTICS:\n\n* Diagnosis of primary invasive adenocarcinoma of the breast\n\n  * Stage I-IIIA disease (T1-3, N0-1, M0)\n* Enrolled on clinical trial SWOG-9313\n* Tumor tissue available for testing\n\nPATIENT CHARACTERISTICS:\n\n* Not specified\n\nPRIOR CONCURRENT THERAPY:\n\n* See Disease Characteristics",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from SWOG 9313 consented to banking",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specify** whether an ERBB2 (also known as HER2) mutation is required, an exclusion criteria, or simply not relevant.  The criteria only mention having a diagnosis of primary invasive adenocarcinoma of the breast, being enrolled in SWOG-9313, and having tumor tissue available.  Therefore, we cannot determine eligibility based on ERBB2 status alone.  More information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