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ERBB2 - Document 62</w:t>
      </w:r>
    </w:p>
    <w:p>
      <w:pPr>
        <w:pStyle w:val="Heading1"/>
      </w:pPr>
      <w:r>
        <w:t>IMaging PAtients for Cancer Drug selecTion - Metastatic Breast Cancer</w:t>
      </w:r>
    </w:p>
    <w:p>
      <w:pPr>
        <w:pStyle w:val="Heading2"/>
      </w:pPr>
      <w:r>
        <w:t>Clinical Trial: https://clinicaltrials.gov/study/NCT01957332</w:t>
      </w:r>
    </w:p>
    <w:p>
      <w:r>
        <w:t xml:space="preserve">      "eligibilityCriteria": "Inclusion Criteria:\n\n* Patient with first presentation of MBC, regardless of ER and HER2 status of the primary tumor, who is eligible for first-line systemic therapy.\n* Patient with non-rapidly progressive MBC, not requiring urgent initiation of chemotherapy, based on clinician's evaluation which may include:\n\n  * no recent (\\&lt; 2 weeks prior to screening visit) significant worsening of MBC related signs and symptoms according to patient history.\n  * in case of liver metastases: no significant increase in liver function tests alanine aminotransferase aspartate transaminase (ASAT) and alanine transaminase (ALAT) in 2 weeks prior to screening visit. (Significant increase of liver function test is defined as 50% increase of absolute amount of ASAT/ALAT.)\n* Patients in whom standard imaging work-up of MBC was recently (\u2264 28 days) performed. Standard imaging must include: CT chest/abdomen, 18F-FDG-PET and bone scintigraphy.\n* Patient with measurable or clinically evaluable (bone only) disease on recent standard work up of MBC are eligible.\n* Metastatic lesion(s) of which a histological biopsy can safely be obtained according to standard clinical care procedures.\n* Primary tumor blocks available for confirmatory central laboratory ER/HER2 testing in the UMCG. If available a snap frozen sample of the primary tumor will also be centralized in the University Medical Center Groningen (UMCG).\n* WHO performance status 0-2.\n* Patient is able to undergo PET imaging procedures.\n* Age \\&gt;18 years of age, willing and able to comply with the protocol as judged by the investigator.\n* Signed written informed consent.\n\nExclusion Criteria:\n\n* Contraindications for systemic treatment (as will be assigned based on biopsy and experimental scan results), either chemotherapy, hormonal therapy or anti-HER2 therapy, based on clinical judgment of treating medical oncologist and patient history.\n* Pregnant or lactating women.\n* Prior allergic reaction to immunoglobulins or immunoglobulin allergy.\n* Inability to comply with study procedures.\n* Rapidly progressive (visceral) disease requiring rapid initiation of chemotherapy.",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ERBB2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information provided states that patients with **first presentation of MBC (metastatic breast cancer), regardless of ER and HER2 status of the primary tumor**, are eligible.  Therefore, a patient with an ERBB2 (HER2) gene mutation **would be eligible** for this trial based on that criterion alone.</w:t>
        <w:br/>
        <w:br/>
        <w:t>However, they must *also* meet all other inclusion criteria and *not* meet any exclusion criteria.  The ERBB2 mutation status itself doesn't disqualify them.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