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KIT - Document 17</w:t>
      </w:r>
    </w:p>
    <w:p>
      <w:pPr>
        <w:pStyle w:val="Heading1"/>
      </w:pPr>
      <w:r>
        <w:t>Genome Wide SNP Array-based Approach to Detect Micro-cytogenetic Lesions and KIT Mutation to Improve Treatment Outcomes in Patients With Core-binding Factor Positive Acute Myeloid Leukemia</w:t>
      </w:r>
    </w:p>
    <w:p>
      <w:pPr>
        <w:pStyle w:val="Heading2"/>
      </w:pPr>
      <w:r>
        <w:t>Clinical Trial: https://clinicaltrials.gov/study/NCT01066286</w:t>
      </w:r>
    </w:p>
    <w:p>
      <w:r>
        <w:t xml:space="preserve">      "eligibilityCriteria": "Inclusion Criteria:\n\n* patients with core binding factor positive acute myeloid leukemia\n* 18 years or older\n* patients were treated with standard chemotherapy\n* patients with available medical record and stored bone marrow specimen at time of diagnosis\n\nExclusion Criteria:\n\n* no definive criteria",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],</w:t>
        <w:br/>
        <w:t xml:space="preserve">      "studyPopulation": "core binding factor positive acute myeloid leukemia",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KIT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description **does not mention KIT mutations specifically**, either as an inclusion or exclusion criterion.  Therefore, we **cannot determine** from this information alone whether a patient with a KIT mutation would be eligible.  Having a KIT mutation might not affect eligibility either way.  More information is needed.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