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22</w:t>
      </w:r>
    </w:p>
    <w:p>
      <w:pPr>
        <w:pStyle w:val="Heading1"/>
      </w:pPr>
      <w:r>
        <w:t>Smoking Cessation in Hospitalized Smokers</w:t>
      </w:r>
    </w:p>
    <w:p>
      <w:pPr>
        <w:pStyle w:val="Heading2"/>
      </w:pPr>
      <w:r>
        <w:t>Clinical Trial: https://clinicaltrials.gov/study/NCT01289275</w:t>
      </w:r>
    </w:p>
    <w:p>
      <w:r>
        <w:t xml:space="preserve">      "eligibilityCriteria": "Inclusion Criteria:\n\n* 18 years or older\n* Smoke \\&gt;=6 Cigarettes per day\n* English or Spanish speaking\n* Valid phone number\n* Valid address\n* Gave consent to participate in study and evaluation\n\nExclusion Criteria:\n\n* Hospital stay of less than 24 hours\n* Inability to communicate orally\n* Hypersensitivity to nicotine\n* Pregnant\n* Hospitalized for psychiatric treatment",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 *not* mention KIT gene mutations in either the inclusion or exclusion criteria. Therefore, having a KIT gene mutation does *not* automatically disqualify a patient.  As long as the patient meets all the inclusion criteria and none of the exclusion criteria, they *could*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