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</w:t>
      </w:r>
    </w:p>
    <w:p>
      <w:pPr>
        <w:pStyle w:val="Heading1"/>
      </w:pPr>
      <w:r>
        <w:t>NMP22 Provides Improved Sensitivity in Detecting Bladder Cancers.</w:t>
      </w:r>
    </w:p>
    <w:p>
      <w:pPr>
        <w:pStyle w:val="Heading2"/>
      </w:pPr>
      <w:r>
        <w:t>Clinical Trial: https://clinicaltrials.gov/study/NCT00318266</w:t>
      </w:r>
    </w:p>
    <w:p>
      <w:r>
        <w:t xml:space="preserve">      "eligibilityCriteria": "Inclusion Criteria:\n\n* \u00b7 History of pTis, pT1, large (\\&gt;2cm) pTa or multiple pTa bladder cancer tumours.\n\nWritten Informed Consent prior to any study-related procedures.\n\nExclusion Criteria:\n\n* History of bladder cancer tumours other than those listed in inclusion",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 with a history og pTis, pT1, larger ( \\&gt;2 cm) pTa or multiple pTa bladder tumors.",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certain types of bladder cancer.  The criteria mention nothing about KIT gene mutations, so having one would not automatically exclude a patient.  Eligibility depends entirely on the patient's bladder cancer staging (pTis, pT1, large pTa, or multiple pTa).  If they meet the inclusion criteria based on their tumor characteristics *and* do not fall under the exclusion criteria (having other types of bladder cancer), then they *could* be eligible, regardless of their KIT gene mutation status.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