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41</w:t>
      </w:r>
    </w:p>
    <w:p>
      <w:pPr>
        <w:pStyle w:val="Heading1"/>
      </w:pPr>
      <w:r>
        <w:t>Autologous Versus Synthetic Versus Biological Sling for Trans-obturator Correction of Urinary Stress Incontinence</w:t>
      </w:r>
    </w:p>
    <w:p>
      <w:pPr>
        <w:pStyle w:val="Heading2"/>
      </w:pPr>
      <w:r>
        <w:t>Clinical Trial: https://clinicaltrials.gov/study/NCT00744198</w:t>
      </w:r>
    </w:p>
    <w:p>
      <w:r>
        <w:t xml:space="preserve">      "eligibilityCriteria": "Inclusion Criteria:\n\n* Genuine stress urinary incontinence by self report, examination and test\n* Urethral hypermobility\n* Eligible for all three surgical procedures\n* Ambulatory\n\nExclusion Criteria:\n\n* Pregnancy\n* \\&lt;12 months post-partum\n* Systemic disease and/or drugs known to affect bladder function\n* Current chemotherapy or radiation therapy\n* Urethral diverticulum, augmentation cytoplasty, or artificial sphincter\n* Recent pelvic surgery\n* Severe genuine stress incontinence (loss of urine with minimal physical activity) with associated prolapse equal to or more than second degree\n* Previous pelvic or anti-incontinence surgery\n* History of severe abdominopelvic infections\n* Known extensive abdominopelvic adhesions\n* Detrusor instability and/or intrinsic sphincter dysfunction\n* Other gynaecologic pathologies (eg, fibroids, ovarian cysts)\n* BMI \\&gt;30",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anything about KIT gene mutations as an inclusion or exclusion criterion.  Therefore, having a KIT gene mutation *does not automatically disqualify* a patient.  They would still need to meet all other inclusion criteria and not have any of the listed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