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49</w:t>
      </w:r>
    </w:p>
    <w:p>
      <w:pPr>
        <w:pStyle w:val="Heading1"/>
      </w:pPr>
      <w:r>
        <w:t>Minimal Stimulation Protocol Using Aromek(Letrozole) and Follitrope(recFSH) Combined With INVOCell-Low Cost IVF</w:t>
      </w:r>
    </w:p>
    <w:p>
      <w:pPr>
        <w:pStyle w:val="Heading2"/>
      </w:pPr>
      <w:r>
        <w:t>Clinical Trial: https://clinicaltrials.gov/study/NCT01058252</w:t>
      </w:r>
    </w:p>
    <w:p>
      <w:r>
        <w:t xml:space="preserve">      "eligibilityCriteria": "Inclusion Criteria:\n\n* Tubal factor without Hydrosalpinx\n* Unexplained infertility with unsuccessful attempts in achieving pregnancy through timed intercourse or IUI\n* Boarder line male factor infertility\n* Sperm DNA Fragmentation \\&lt; 30%\n* Normal Uterine Cavity\n* Normal baseline ultrasound with adequate number of primary follicles present\n* Normal FSH and E2 on Day 3\n* Age of the female is \\&lt; 35 years old\n\nExclusion Criteria:\n\n* If previous IVF or INVO attempts resulted in failed fertilisation\n* Male partner who has difficulty in producing semen sample\n* Very low sperm count, very low percentage of sperm motility and morphology\n* Sperm DNA Fragmentation \\&gt; 30%\n* Age of female patient \\&gt; 37 years\n* Borderline or elevated E2 or FSH on day 3 or failed CCCT or low blood inhibin levels\n* Poor ovarian response\n* Hydrosalpinx\n* Anatomic difficulties in reaching ovaries for oocyte retrieval\n* Cervical stenosis, making embryo transfer difficult\n* Uterine abnormalities or deformities\n* Obesity",</w:t>
        <w:br/>
        <w:t xml:space="preserve">      "healthyVolunteers": true,</w:t>
        <w:br/>
        <w:t xml:space="preserve">      "sex": "ALL",</w:t>
        <w:br/>
        <w:t xml:space="preserve">      "minimumAge": "20 Years",</w:t>
        <w:br/>
        <w:t>"stdAges": [</w:t>
        <w:br/>
        <w:t>"ADULT"</w:t>
        <w:br/>
        <w:t>],</w:t>
        <w:br/>
        <w:t xml:space="preserve">      "studyPopulation": "IVF Network Centers across the country, selecting patients meeting inclusion and exclusion criteria.",</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The provided clinical trial information does *not* mention KIT gene mutations in either the inclusion or exclusion criteria.  Therefore, we cannot determine if a patient with a KIT gene mutation would be eligible or ineligible based on this text alone.  The presence of the mutation neither qualifies nor disqualifies them based on the information given.  Further information would be needed.</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