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58</w:t>
      </w:r>
    </w:p>
    <w:p>
      <w:pPr>
        <w:pStyle w:val="Heading1"/>
      </w:pPr>
      <w:r>
        <w:t>Staging Candidiasis in ICU Patients</w:t>
      </w:r>
    </w:p>
    <w:p>
      <w:pPr>
        <w:pStyle w:val="Heading2"/>
      </w:pPr>
      <w:r>
        <w:t>Clinical Trial: https://clinicaltrials.gov/study/NCT01322698</w:t>
      </w:r>
    </w:p>
    <w:p>
      <w:r>
        <w:t xml:space="preserve">      "eligibilityCriteria": "Inclusion Criteria:\n\n* Polynuclear neutrophils \\&gt; 500/mm\\^3\n* Hospitalized for \\&gt; 48 hours in participating ICUs\n\nExclusion Criteria:\n\n* Patients discharged from ICU in \\&lt; 48h\n* Patient diagnosed with invasive candidosis before entry to ICU\n* Patient is taking an anti-fungal treatment\n* polynuclear neutrophils \\&lt; 500/mm\\^3\n* patient transferred to another ICU\n* patient included in the Abmidex protocole",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"The target population includes patients in ICUs at the N\u00eemes and Montpellier University hospitals. This is a population of non-neutropenic patients (polynuclear neutrophils \\&gt; 500/mm3) at risk of developing invasive candidiasis.",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KIT gene mutations as either an inclusion or exclusion criterion.  Therefore, having a KIT gene mutation *doesn't automatically disqualify* a patient.  They would need to meet all other inclusion criteria and not meet any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