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70</w:t>
      </w:r>
    </w:p>
    <w:p>
      <w:pPr>
        <w:pStyle w:val="Heading1"/>
      </w:pPr>
      <w:r>
        <w:t>Osteoarthritis Bedside Testing Kit</w:t>
      </w:r>
    </w:p>
    <w:p>
      <w:pPr>
        <w:pStyle w:val="Heading2"/>
      </w:pPr>
      <w:r>
        <w:t>Clinical Trial: https://clinicaltrials.gov/study/NCT00794651</w:t>
      </w:r>
    </w:p>
    <w:p>
      <w:r>
        <w:t xml:space="preserve">      "eligibilityCriteria": "Inclusion Criteria:\n\n* Subject is 50 years of age or older and has osteoarthritis of the knee.\n* Subject is able to communicate meaningfully in English and comply with all study procedures.\n* Subject is willing to voluntarily sign and date an informed consent form, approved by an Institutional Review Board (IRB)/Independent Ethics Committee (IEC), prior to the conduct of any study-specific procedures.\n* Subject has experienced a minimum duration of pain of at least 6 months.\n* For each of the last 15 days, pain level has remained at least a 3 on a Pain Intensity Numerical Rating (P-NRS) scale from 0 to 10; 0 means \"no pain\" and 10 means \"worst pain imaginable\".\n* Subject is ambulatory.\n* Subject has a primary diagnosis of osteoarthritis of the knee by medical history.\n* Subject must be willing to abstain from any pain medicine for 12 hours prior to the study.\n\nExclusion Criteria:\n\n* \u2022 Subject is pregnant and/or breast-feeding.\n\n  * Subject has a medical condition, other than OA, that is not well-controlled with treatment; or the subject has any clinically significant condition that would, in the opinion of the investigator, preclude study participation or interfere with the assessment of pain and other symptoms of OA.\n  * Subject is not able to hold a stylus or pen.\n  * Subject is not able to read a computer screen.\n  * Subject has any chronic pain syndrome (e.g., fibromyalgia) that, in the investigator's opinion, would interfere with the assessment of pain and/or other symptoms of OA.\n  * In the judgment of the investigator, the subject has a psychiatric or psychological disorder that would interfere with the completion of the study, confound the study results or pose patient risk.",</w:t>
        <w:br/>
        <w:t xml:space="preserve">      "healthyVolunteers": false,</w:t>
        <w:br/>
        <w:t xml:space="preserve">      "sex": "ALL",</w:t>
        <w:br/>
        <w:t xml:space="preserve">      "minimumAge": "50 Years",</w:t>
        <w:br/>
        <w:t>"stdAges": [</w:t>
        <w:br/>
        <w:t>"ADULT",</w:t>
        <w:br/>
        <w:t>"OLDER_ADULT"</w:t>
        <w:br/>
        <w:t>],</w:t>
        <w:br/>
        <w:t xml:space="preserve">      "studyPopulation": "moderate to severe osteoarthritis of the knee 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osteoarthritis of the knee.  Having a KIT gene mutation is not mentioned in the inclusion or exclusion criteria.  Therefore, **it is not possible to determine eligibility based on the KIT mutation alone.**  A patient with a KIT mutation *could* be eligible if they also meet *all* of the inclusion criteria and *none*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