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10</w:t>
      </w:r>
    </w:p>
    <w:p>
      <w:pPr>
        <w:pStyle w:val="Heading1"/>
      </w:pPr>
      <w:r>
        <w:t>Study to Evaluate Real-world Pharmacoeconomics and Resistance Mechanisms of Panitumumab in Metastatic Colorectal Cancer Patients</w:t>
      </w:r>
    </w:p>
    <w:p>
      <w:pPr>
        <w:pStyle w:val="Heading2"/>
      </w:pPr>
      <w:r>
        <w:t>Clinical Trial: https://clinicaltrials.gov/study/NCT02135757</w:t>
      </w:r>
    </w:p>
    <w:p>
      <w:r>
        <w:t xml:space="preserve">      "eligibilityCriteria": "Inclusion Criteria:\n\n* Patients with a histologically confirmed diagnosis of mCRC.\n* Immunohistochemical evidence of EGFR expression.\n* ECOG performance status of 0, 1 or 2.\n* Patients refractory to fluoropyrimidine, oxaliplatin, and irinotecan chemotherapy regimens\n* Patients with a wt KRAS scheduled to receive panitumumab as a single agent for the third-line treatment of mCRC or patients with a mt KRAS scheduled to receive SOC for third-line treatment of mCRC.\n* Signed and dated IRB-approved informed consent document.\n* Ability to read and understand English or French.\n* 18 years of age or older.\n\nExclusion Criteria:\n\n* Acquired immunodeficiency syndrome (AIDS-related illnesses) or known HIV disease.",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chemotherapy-refractory metastatic colorectal cancer from participating hospitals in Quebec.",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**any** KRAS mutation (either a wild-type "wt" KRAS or a mutant "mt" KRAS) *could* be eligible for this trial.  The inclusion criteria specifically mention both:</w:t>
        <w:br/>
        <w:br/>
        <w:t>* **wt KRAS:**  These patients are eligible if they are scheduled to receive panitumumab.</w:t>
        <w:br/>
        <w:t>* **mt KRAS:** These patients are eligible if they are scheduled to receive standard of care (SOC) for third-line treatment.</w:t>
        <w:br/>
        <w:br/>
        <w:t>Therefore, simply having a KRAS mutation doesn't disqualify a patient.  The type of KRAS mutation and planned treatment determine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