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20</w:t>
      </w:r>
    </w:p>
    <w:p>
      <w:pPr>
        <w:pStyle w:val="Heading1"/>
      </w:pPr>
      <w:r>
        <w:t>Treatment of Patients With Advanced Rectum Cancer With Capecitabine and Oxaliplatin Before, Under and After Radiation and With Adding Cetuximab to K-RAS Wild-type Patients</w:t>
      </w:r>
    </w:p>
    <w:p>
      <w:pPr>
        <w:pStyle w:val="Heading2"/>
      </w:pPr>
      <w:r>
        <w:t>Clinical Trial: https://clinicaltrials.gov/study/NCT00964457</w:t>
      </w:r>
    </w:p>
    <w:p>
      <w:r>
        <w:t xml:space="preserve">      "eligibilityCriteria": "Inclusion Criteria:\n\n* advanced rectum cancer\n\nExclusion Criteria:\n\n* prior radiation",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doesn't mention KRAS mutation status as either an inclusion or exclusion criterion.  Therefore, having a KRAS mutation *doesn't automatically disqualify* the patient.  They *could* be eligible if they meet the other criteria (advanced rectum cancer and no prior radiation) and are within the age range.  However, more information would be needed to determine definitive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