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32</w:t>
      </w:r>
    </w:p>
    <w:p>
      <w:pPr>
        <w:pStyle w:val="Heading1"/>
      </w:pPr>
      <w:r>
        <w:t>Combination Chemotherapy Plus Panitumumab or Bevacizumab for Inoperable Cholangiocarcinoma Without KRAS Mutations</w:t>
      </w:r>
    </w:p>
    <w:p>
      <w:pPr>
        <w:pStyle w:val="Heading2"/>
      </w:pPr>
      <w:r>
        <w:t>Clinical Trial: https://clinicaltrials.gov/study/NCT01206049</w:t>
      </w:r>
    </w:p>
    <w:p>
      <w:r>
        <w:t xml:space="preserve">      "eligibilityCriteria": "Inclusion Criteria:\n\n* Histologically verified adenocarcinoma arisen from gall bladder, extra- or intrahepatic bile ducts or malignant cells consistent with the above and simultaneous radiologic findings consistent with cholangiocarcinoma\n* Minimum 18 years of age\n* Curative treatment currently not an option (operation, stereotactic radiation treatment or similar)\n* KRAS analyzed and found wild-type (wt)\n* Performance status 0-2\n* Evaluable disease according to RECIST, i.e. the disease need not be measurable\n* Hematology: ANC \u22651.5x10\\^9/l. Thrombocytes \u2265 100x10\\^9/l\n* Biochemistry: Bilirubinemia \u2264 3 x upper normal level. ALAT \u2264 5 x upper normal level.\n* Creatinine \u2264 upper normal level. At raised creatinine level the measured or calculated GFR must be at least 50% of the lower normal level\n* Fertile women must present a negative pregnancy test and use secure birth control during and 6 months after treatment. Men with fertile partners must also take care of secure birth control.\n* Written and orally informed consent\n\nExclusion Criteria:\n\n* Previous cytostatic treatment of inoperable cholangiocarcinoma\n* Adjuvant or neoadjuvant chemotherapy, radiation therapy or immunotherapy within 4 weeks prior to treatment start\n* Other concomitant experimental treatment\n* Severe medical disease such as considerable heart disease, serious active infection or other disease making the patient unfit for study participation as assessed by investigator\n* Other malignant disease within 5 years prior to enrolment except from non-melanotic skin cancer and carcinoma in situ cervicis uteri\n* Interstitial pneumonitis or subsequent pulmonary fibrosis\n* Pregnant or breastfeeding women\n* Large-scale surgical intervention, excision biopsy or significant traumatic lesions within 28 days prior to treatment start or presumption that large-scale surgery will become necessary during study treatment.\n* Significant non-healing wound or ulcers\n* Active hemorrhage or increased risk of hemorrhage (e.g. tumor invasion in large vessels or known esophagus varices)\n* Known hypersensitivity to panitumumab, bevacizumab or any of the auxiliary agents\n* Grade IV fistulas\n* Uncontrolled hypertension, i.e. symptomatic hypertension or non-medically stabilized hypertension \\&gt;160/100\n* Haemoptysis \\&gt; 2.5 ml within 2 weeks prior to enrolment\n* Previous serious and unexpected reactions or know hypersensitivity to two or more of the applied cytostatics",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states that the patient must be KRAS wild-type (wt).  A patient with a KRAS mutation would be ineligible.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