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34</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information *doesn't* exclude patients with a KRAS mutation.  The inclusion criteria specify M1A or B NSCLC or any stage SCLC, and doesn't mention any specific genetic mutations as exclusion criteria.  Therefore, a patient with a KRAS mutation *could* be eligible if they meet all the other inclusion criteria and don't meet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