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KRAS - Document 37</w:t>
      </w:r>
    </w:p>
    <w:p>
      <w:pPr>
        <w:pStyle w:val="Heading1"/>
      </w:pPr>
      <w:r>
        <w:t>Vemurafenib, Cetuximab, and Irinotecan Hydrochloride in Treating Patients With Solid Tumors That Are Metastatic or That Cannot Be Removed by Surgery</w:t>
      </w:r>
    </w:p>
    <w:p>
      <w:pPr>
        <w:pStyle w:val="Heading2"/>
      </w:pPr>
      <w:r>
        <w:t>Clinical Trial: https://clinicaltrials.gov/study/NCT01787500</w:t>
      </w:r>
    </w:p>
    <w:p>
      <w:r>
        <w:t xml:space="preserve">      "eligibilityCriteria": "Inclusion Criteria:\n\n* Patients must have histologically confirmed malignancy that is metastatic or unresectable\n* Cancers with positive BRAF V600 mutation detected by a Clinical Laboratory Improvement Act (CLIA)-certified laboratory\n* Eastern Cooperative Oncology Group (ECOG) performance status of 0 to 2\n* Life expectancy of greater than 3 months\n* Patients must have measurable disease per Response Evaluation Criteria in Solid Tumors (RECIST) 1.1 criteria\n* Patients must have a K-RAS wild-type (WT) tumor\n* Absolute neutrophils count \\&gt;= 1500/mcl (within 14 days)\n* Platelets \\&gt;= 100000/mcl (within 14 days)\n* Hemoglobin (Hb) \\&gt;= 9 mg/dl (within 14 days)\n* Total bilirubin =\\&lt; 1.5 mg/dl (within 14 days)\n* Aspartate aminotransferase (AST)/alanine aminotransferase (ALT) =\\&lt; 5 x upper limit of normal if liver metastases present; otherwise, then =\\&lt; 2.5 x upper limit (within 14 days)\n* Estimated creatinine clearance by Cockcroft-Gault equation \\&gt; 30 mL/min (within 14 days)\n* Current treatment may cause harm to the developing human fetus; for this reason women of child-bearing age must have a negative pregnancy test at screening and both women of child-bearing potential and men must agree to use adequate contraception (hormonal or barrier method of birth control; abstinence) prior to study entry and for the duration of study participation, and for 6 months after last dose; should a woman become pregnant or suspect she is pregnant while she or her partner is participating in this study, she should inform her treating physician immediately\n* Signed informed consent approved by the Institutional Review Board prior to patient entry\n* Expansion cohort: We propose a final expansion cohort for this study in a subset of interest utilizing the recommended dosing of combination; this cohort will include patients harboring characteristics that may predict response of combination or with clinical features that proved to derive most benefit of the study combination during preclinical studies; cancers with positive BRAF (V600) mutation detected by a CLIA-certified laboratory\n\nExclusion Criteria:\n\n* Patient receiving any concurrent chemotherapy\n* Concurrent severe and/or uncontrolled medical disease including, but not limited to, ongoing or active infection requiring intravenous antibiotics, bowel obstruction\n* Symptomatic congestive heart failure (New York Heart Association \\[NYHA\\] class III or IV), or unstable angina pectoris\n* Patients who have had a myocardial infarction, transient ischemic attack, unstable angina, or cardiovascular symptoms (CVS) within 6 months before treatment\n* Presence of symptomatic pleural and/or pericardial effusion not appropriately treated\n* Prolonged corrected QT (QTc) interval (\\&gt;= 450 msec) as calculated by Bazett's formula, or patients with a history of congenital long QT syndrome or uncorrectable electrolyte abnormalities\n* Medical and/or psychiatric problems of sufficient severity to limit full compliance with the study or expose patients to undue risk\n* Known anaphylactic or severe hypersensitivity to the study drugs or their analogs\n* Patient has failed to recover from any prior surgery within 4 weeks of study entry\n* Patient is pregnant, lactating, or breastfeeding\n* Patient has had any treatment specific for tumor control within 3 weeks of dosing with investigational drugs and cytotoxic agents, or within 2 weeks of cytotoxic agent given weekly, or within 6 weeks of nitrosoureas or mitomycin C, or within 5 half-lives of biological targeted agents with half-lives and pharmacodynamic effects lasting less than 5 days\n* Patient is not able to swallow oral medication\n* Patients receiving any medications or substances that are strong inhibitors or inducers of cytochrome P450, family 3, subfamily A, polypeptide 4 (CYP3A4) complex are ineligible\n* Patients with known K-RAS mutant (codon 12 or 13) detected by a Food and Drug Administration (FDA)-approved test in a CLIA-certified laboratory\n* Patients with BRAF WT cancers",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KRAS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require patients to have a K-RAS wild-type (WT) tumor.  The exclusion criteria further specify that patients with known K-RAS mutations (codon 12 or 13) are ineligible. Therefore, a patient with a KRAS mutation would *not* be eligible for this trial.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