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49</w:t>
      </w:r>
    </w:p>
    <w:p>
      <w:pPr>
        <w:pStyle w:val="Heading1"/>
      </w:pPr>
      <w:r>
        <w:t>The Immunoscore as a Prognostic Marker for Patients With a Colorectal Cancer</w:t>
      </w:r>
    </w:p>
    <w:p>
      <w:pPr>
        <w:pStyle w:val="Heading2"/>
      </w:pPr>
      <w:r>
        <w:t>Clinical Trial: https://clinicaltrials.gov/study/NCT01688232</w:t>
      </w:r>
    </w:p>
    <w:p>
      <w:r>
        <w:t xml:space="preserve">      "eligibilityCriteria": "Inclusion Criteria:\n\n* Adult patient with newly diagnosed colorectal cancer.\n* Patient with signed informed consent.\n* Follow up made by the clinical center for inclusion or by a medical team in relation with the center.\n\nExclusion Criteria:",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"Adult patient with newly diagnosed colorectal cancer.",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**doesn't say anything about KRAS mutation status**, so we can't determine eligibility based on that factor.  A patient *might* be eligible if they meet the other criteria (adult, newly diagnosed colorectal cancer, signed informed consent, appropriate follow-up), but the information provided is incomplete.  KRAS mutation status is frequently used for inclusion or exclusion in colorectal cancer trials, so it's highly likely this trial has a criterion related to it that's simply not listed here.  More information is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