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7</w:t>
      </w:r>
    </w:p>
    <w:p>
      <w:pPr>
        <w:pStyle w:val="Heading1"/>
      </w:pPr>
      <w:r>
        <w:t>Phase I Study of LDK378 in Pediatric, Malignancies With a Genetic Alteration in Anaplastic Lymphoma Kinase (ALK)</w:t>
      </w:r>
    </w:p>
    <w:p>
      <w:pPr>
        <w:pStyle w:val="Heading2"/>
      </w:pPr>
      <w:r>
        <w:t>Clinical Trial: https://clinicaltrials.gov/study/NCT01742286</w:t>
      </w:r>
    </w:p>
    <w:p>
      <w:r>
        <w:t xml:space="preserve">      "eligibilityCriteria": "Inclusion Criteria:\n\n* Diagnosed with a locally advanced or metastatic malignancy that has progressed despite standard therapy, or for which no effective standard therapy exists\n* Age \u2265 12 months and \\&lt; 18 years\n* The tumor must carry a genetic alteration of ALK\n* Patients must have evaluable or measurable disease.\n* Karnofsky performance status score \u2265 60% for patients \\&gt; 12 years of age; Lansky score \u2265 50% for patients \u2264 12 years of age.\n\nExclusion criteria:\n\n* Symptomatic central nervous system (CNS) metastases who are neurologically unstable or require increasing doses of steroids or local CNS-directed therapy (such as radiotherapy, surgery or intrathecal chemotherapy) to control their CNS disease\n* Inadequate end organ function as defined by specified laboratory values\n* Body surface area (BSA) \\&lt; 0.35 m2\n* Impairment of gastrointestinal (GI) function or GI disease that may significantly alter the absorption of LDK378 (e.g., ulcerative diseases, uncontrolled nausea, vomiting, diarrhea, or malabsorption syndrome)\n* Use of medications that are known to be strong inhibitors or inducers of CYP3A4/5 that cannot be discontinued at least 1 week prior to start of treatment with LDK378 and for the duration of the study\n* Use of medications that are mainly metabolized by CYP3A4/5 or CYP2C9 that cannot be discontinued at least 1 week prior to start of treatment with LDK378 and for the duration of the study\n* History of interstitial lung disease or interstitial pneumonitis, including clinically significant radiation pneumonitis\n* History of pancreatitis or history of increased amylase or lipase that was due to pancreatic disease.\n* Medications with a known risk of prolongation of QT interval",</w:t>
        <w:br/>
        <w:t xml:space="preserve">      "healthyVolunteers": false,</w:t>
        <w:br/>
        <w:t xml:space="preserve">      "sex": "ALL",</w:t>
        <w:br/>
        <w:t xml:space="preserve">      "minimumAge": "12 Months",</w:t>
        <w:br/>
        <w:t>"stdAges": [</w:t>
        <w:br/>
        <w:t>"CHILD"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inclusion criteria provided, a patient with an ALK gene mutation would be eligible for the clinical trial, provided they meet all other inclusion and exclusion criteria. Here is a summary that supports this conclusion:</w:t>
        <w:br/>
        <w:br/>
        <w:t>1. **Inclusion Criteria Related to ALK Mutation:**</w:t>
        <w:br/>
        <w:t xml:space="preserve">   - The trial specifically requires that "The tumor must carry a genetic alteration of ALK." Therefore, having an ALK gene mutation is a key eligibility requirement.</w:t>
        <w:br/>
        <w:t xml:space="preserve">   </w:t>
        <w:br/>
        <w:t>2. **Other Inclusion Criteria:**</w:t>
        <w:br/>
        <w:t xml:space="preserve">   - The patient must have a locally advanced or metastatic malignancy that has progressed, or for which no effective standard therapy exists.</w:t>
        <w:br/>
        <w:t xml:space="preserve">   - The patient must be between 12 months and less than 18 years of age.</w:t>
        <w:br/>
        <w:t xml:space="preserve">   - The patient must have evaluable or measurable disease.</w:t>
        <w:br/>
        <w:t xml:space="preserve">   - The patient's performance status must meet specific requirements (Karnofsky score or Lansky score).</w:t>
        <w:br/>
        <w:br/>
        <w:t>3. **Exclusion Criteria:**</w:t>
        <w:br/>
        <w:t xml:space="preserve">   - Ensure the patient does not have symptomatic CNS metastases, inadequate end organ function, a body surface area below 0.35 m², gastrointestinal impairments that affect absorption, or other listed medical conditions and medication conflicts.</w:t>
        <w:br/>
        <w:br/>
        <w:t>As long as the patient meets all the inclusion criteria and none of the exclusion criteria apply, they would be eligible for the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