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 information provided, a patient with a BRAF gene mutation would not be eligible for this specific trial. The study population is focused on patients with Non-Small Cell Lung Cancer (NSCLC) who either have an EGFR mutation in exons 18-21 or are EGFR "wild-type" (i.e., do not have a mutation in exons 18-21). There is no mention of patients with BRAF mutations being included in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