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19</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 with a BRAF gene mutation would be eligible to participate in this study. The trial has no specific inclusion or exclusion criteria listed, which implies that all patients with the necessary NSCLC tumor tissue samples are eligible for the study. Since BRAF is one of the genes of interest for sequencing in this study, the presence of a BRAF mutation does not impact eligibility. The focus is on understanding various molecular alterations in NSCLC, including those involving the BRAF gene, among others.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