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57</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eligibility criteria provided for the clinical trial, a patient with a BRAF gene mutation would be eligible if they have advanced melanoma and are eligible for standard BRAF testing. The criteria specifically include patients with advanced melanoma eligible for standard BRAF testing, which typically applies to patients with a BRAF mutation. Thus, a patient with a BRAF gene mutation and advanced melanoma would likely be considered eligible for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