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120</w:t>
      </w:r>
    </w:p>
    <w:p>
      <w:pPr>
        <w:pStyle w:val="Heading1"/>
      </w:pPr>
      <w:r>
        <w:t>A Chinese Randomized Crossover Study of Erlotinib Versus Docetaxel/Cisplatin in Previously Untreated Stage IIIB/IV Lung Adenocarcinoma With EGFR Mutations</w:t>
      </w:r>
    </w:p>
    <w:p>
      <w:pPr>
        <w:pStyle w:val="Heading2"/>
      </w:pPr>
      <w:r>
        <w:t>Clinical Trial: https://clinicaltrials.gov/study/NCT01131429</w:t>
      </w:r>
    </w:p>
    <w:p>
      <w:r>
        <w:t xml:space="preserve">      "eligibilityCriteria": "Inclusion Criteria:\n\n* Male and female patients aged over 18 years\n* Histologically proven lung adenocarcinoma\n* clinical stage IIIB/IV\n* ECOG performance status 0-2\n* Had no prior anticancer agent, radiation or surgical therapy for lung adenocarcinoma\n* At least one measurable lesion (according to RECIST)\n* Provision of written informed consent\n* Life expectancy of at least 12 weeks\n\nExclusion Criteria:\n\n* History of malignant disease.\n* Evidence of clinically active interstitial lung diseases (patients with chronic, stable, radiographic changes who are asymptomatic need not be excluded)\n* Expected life expectancy less than 2 months\n* As judged by the investigator, any evidence of severe or uncontrolled systemic disease (e.g. unstable or uncompensated respiratory, cardiac, hepatic, or renal disease)\n* Aspartate aminotransferase (AST/SGOT) or alanine aminotransferase (ALT/SGPT) \u2265 2.5 x ULN if no demonstrable liver metastases (or \\&gt;5 x in presence of liver metastases)\n* Evidence of any other significant clinical disorder or laboratory finding that makes it undesirable for the subject to participate in the study\n* Pregnancy or breast-feeding women (women of child\u00acbearing potential). Women of childbearing potential must practice acceptable methods of birth control to prevent pregnancy.",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eligibility criteria provided for the clinical trial do not mention any specific exclusions or requirements regarding EGFR gene mutations. Therefore, based solely on the information given, a patient with an EGFR gene mutation would not be automatically excluded from participating in the trial. However, it's important to confirm the eligibility criteria on a case-by-case basis with the trial investigators as there might be additional unpublished details or specific objectives of the study that pertain to genetic factors like EGFR mutations.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