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137</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clinical trial information provided, there are no specific inclusion or exclusion criteria listed, making the eligibility very broad. The trial aims to study molecular alterations in the EGFR pathway among other genetic markers in non-small cell lung cancer (NSCLC) patients. Since the purpose of the study includes characterizing molecular alterations to the EGFR pathway and the trial does not explicitly exclude patients with an EGFR gene mutation, it is reasonable to conclude that a patient with an EGFR gene mutation would be eligible for this trial. </w:t>
        <w:br/>
        <w:br/>
        <w:t>Furthermore, the study seems to be observational and focused on collecting and analyzing tumor tissue samples, rather than testing the effects of a specific treatment. Therefore, having an EGFR gene mutation would be relevant to the study's goals of understanding molecular subtypes of NSCLC.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