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59</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a patient with an EGFR gene mutation would be eligible for the trial, provided they meet the other conditions outlined for patients with advanced non-small cell lung cancer (NSCLC) or the other specified conditions.</w:t>
        <w:br/>
        <w:br/>
        <w:t>Here are the relevant conditions from the eligibility criteria:</w:t>
        <w:br/>
        <w:t>1. **Histologically Confirmed Advanced NSCLC**: A patient with a confirmed advanced NSCLC could be eligible.</w:t>
        <w:br/>
        <w:t>2. **Molecular Profiling Requirement**: The patient must have either:</w:t>
        <w:br/>
        <w:t xml:space="preserve">   - A biopsiable disease and be willing to undergo biopsy for molecular profiling, or</w:t>
        <w:br/>
        <w:t xml:space="preserve">   - Enough archival material from a previous biopsy for molecular profiling analyses, or</w:t>
        <w:br/>
        <w:t xml:space="preserve">   - Previously undergone successful molecular profiling with mutation analysis.</w:t>
        <w:br/>
        <w:br/>
        <w:t>A patient with an EGFR mutation might submit to molecular profiling as part of the trial. However, individuals who only meet the criteria for EGFR germline mutation testing without having advanced cancer would not be eligible for treatment parts of the trial—just for the germline testing aspect.</w:t>
        <w:br/>
        <w:br/>
        <w:t>In summary, the presence of an EGFR mutation does not exclude the patient from the trial. Instead, the key factors are the stage and type of the cancer and the ability and willingness to undergo the necessary molecular profiling. Other exclusion criteria and clinical conditions, such as recent surgery or other treatments, brain metastases, and medical issues that could interfere with treatment, must also be considered for actual enrollment.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