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98</w:t>
      </w:r>
    </w:p>
    <w:p>
      <w:pPr>
        <w:pStyle w:val="Heading1"/>
      </w:pPr>
      <w:r>
        <w:t>Pertuzumab, Trastuzumab, and Paclitaxel Albumin-Stabilized Nanoparticle Formulation in Treating Patients With HER2-Positive Advanced Breast Cancer</w:t>
      </w:r>
    </w:p>
    <w:p>
      <w:pPr>
        <w:pStyle w:val="Heading2"/>
      </w:pPr>
      <w:r>
        <w:t>Clinical Trial: https://clinicaltrials.gov/study/NCT01730833</w:t>
      </w:r>
    </w:p>
    <w:p>
      <w:r>
        <w:t xml:space="preserve">      "eligibilityCriteria": "Inclusion Criteria:\n\n* Patients must be diagnosed with metastatic cytologically or histologically confirmed adenocarcinoma of the breast with HER2 over-expression or with newly diagnosed locally advanced (including inflammatory) breast cancer (LABC) with stage II-III disease; patients with metastatic (stage IV) disease (MBC) must have measurable lesions\n*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immediately\n* Tumor positive or negative for expression of hormone receptors (\\&lt; 1% or \\&gt; 1%) and overexpressing HER2 by immunohistochemistry (IHC) (3+), or, HER2-amplified by fluorescence in situ hybridization (FISH) or by alternative gene testing\n* For patients with LABC, no prior therapy is allowed\n* For patients with MBC, prior adjuvant chemotherapy and trastuzumab more than or equal to 12 months prior to enrollment are allowed\n* No prior chemotherapy or trastuzumab for treatment of metastatic breast cancer\n* Left ventricular ejection fraction (LVEF) \\&gt;= 50% (determined by echocardiogram or multigated acquisition scan) within 42 days of treatment\n* Eastern Cooperative Oncology Group performance status of 0 or 1\n* Hemoglobin \\&gt;= 9 g/dl\n* Leukocytes \\&gt;= 3.0 x 10\\^9/L\n* Absolute neutrophil count \\&gt;= 1.5 x 10\\^9/L\n* Platelets \\&gt;= 100 x 10\\^9/L\n* Total bilirubin =\\&lt; 1.3 mg/dl (institutional upper limit of normal)\n* Aspartate aminotransferase (AST) (serum glutamic oxaloacetic transaminase \\[SGOT\\])/alanine aminotransferase (ALT) (serum glutamate pyruvate transaminase \\[SGPT\\]) =\\&lt; 2 x institutional upper limit of normal\n* Creatinine within normal institutional limits or creatinine clearance \\&gt; 50 mL/min/1.73 m\\^2 for patients with creatinine levels above institutional normal (using Cockcroft-Gault formula)\n* All radiology studies (study requiring staging) must be performed within 35 days prior to the start of therapy\n* No serious medical conditions such as myocardial infarction within 6 months prior to entry, congestive heart failure, unstable ventricular arrhythmia, uncontrolled hypertension, uncontrolled diabetes mellitus, uncontrolled psychotic disorders, serious infections, active peptic ulcer disease, psychiatric illness, or any other medical conditions that might be aggravated by treatment or limit compliance\n* Currently, no active second malignancy other than non-melanoma skin cancer; note: patients are not considered to have a \"current active\" malignancy if they have completed anti-cancer therapy and are considered by their physicians to have a less than 30% chance of relapse\n* All patients must have the ability to understand and the willingness to sign an informed consent\n* Negative serum or urine beta-human chorionic gonadotropin (hCG) pregnancy test at screening for patients of child-bearing potential\n* No prior therapies (except for anti-estrogen therapy) are allowed for the treatment of the newly diagnosed metastatic breast cancer; patients are allowed to have had prior chemotherapy for breast cancer in the adjuvant setting for at least 12 months prior to enrollment into this study; patients with a prior diagnosis of malignancy treated \\&gt;= 5 years ago are eligible, provided that they have not received prior nab-paclitaxel as part of their prior treatment regimen, and that they meet all eligibility criteria\n\nExclusion Criteria:\n\n* Known active hepatitis B or C\n* Known active human immunodeficiency virus (HIV)\n* Prior breast cancer or other invasive malignancy treated within 5 years\n* Pregnancy\n* Neuropathy \\&gt; grade 1\n* Any other intercurrent medical/psychological problem deemed exclusionary by the treating physician or investigators/principal investigator (PI)\n* Cumulative dose of doxorubicin or equivalent of \\&gt; 360 mg/m\\^2 during prior adjuvant therapy\n* LVEF \\&lt; 50% during previous trastuzumab therapy\n* Central nervous system metastases\n* Another malignancy excluding basal cell skin cancer\n* Pregnant women\n* Subjects will be excluded who, in the opinion of the investigator, may not be able to comply with the safety monitoring requirements of the study",</w:t>
        <w:br/>
        <w:t xml:space="preserve">      "healthyVolunteers": false,</w:t>
        <w:br/>
        <w:t xml:space="preserve">      "sex": "FEMALE",</w:t>
        <w:br/>
        <w:t xml:space="preserve">      "minimumAge": "19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having an EGFR gene mutation does not directly impact eligibility. The trial is focused on patients with breast cancer, specifically those with HER2 over-expression, and includes other eligibility and exclusion criteria related to the health status and disease characteristics rather than specific genetic mutations like EGFR.</w:t>
        <w:br/>
        <w:br/>
        <w:t>Since the trial does not mention EGFR mutations as either an inclusion or exclusion factor, a patient with an EGFR mutation could still be eligible for participation, as long as they meet all other listed criteria. It is important to ensure that the patient fulfills all the specific requirements related to HER2 status, disease stage, previous treatments, and overall health conditions as outlined in both the inclusion and exclusion criteria.</w:t>
        <w:br/>
        <w:br/>
        <w:t>For a definitive eligibility determination, you should discuss the patient's specific medical details with the trial investigators or consider any other factors that may not have been explicitly mentioned but could be relevant upon clinical evaluation.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