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17</w:t>
      </w:r>
    </w:p>
    <w:p>
      <w:pPr>
        <w:pStyle w:val="Heading1"/>
      </w:pPr>
      <w:r>
        <w:t>Genome Wide SNP Array-based Approach to Detect Micro-cytogenetic Lesions and KIT Mutation to Improve Treatment Outcomes in Patients With Core-binding Factor Positive Acute Myeloid Leukemia</w:t>
      </w:r>
    </w:p>
    <w:p>
      <w:pPr>
        <w:pStyle w:val="Heading2"/>
      </w:pPr>
      <w:r>
        <w:t>Clinical Trial: https://clinicaltrials.gov/study/NCT01066286</w:t>
      </w:r>
    </w:p>
    <w:p>
      <w:r>
        <w:t xml:space="preserve">      "eligibilityCriteria": "Inclusion Criteria:\n\n* patients with core binding factor positive acute myeloid leukemia\n* 18 years or older\n* patients were treated with standard chemotherapy\n* patients with available medical record and stored bone marrow specimen at time of diagnosis\n\nExclusion Criteria:\n\n* no definive criteria",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"core binding factor positive acute myeloid leukemia",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clinical trial information provided, a patient with a KIT gene mutation would be eligible to participate in the trial if they meet the following criteria:</w:t>
        <w:br/>
        <w:br/>
        <w:t>1. **Core Binding Factor Positive AML:** The patient must have core binding factor positive acute myeloid leukemia (AML). This is the primary inclusion criterion for the trial. The presence of a KIT mutation is common in patients with core binding factor AML, but the mutation itself is not listed as an exclusion criterion. Therefore, the presence of a KIT mutation does not automatically disqualify the patient, provided they are core binding factor positive.</w:t>
        <w:br/>
        <w:br/>
        <w:t>2. **Age:** The patient must be 18 years or older.</w:t>
        <w:br/>
        <w:br/>
        <w:t>3. **Previous Treatment:** The patient must have been treated with standard chemotherapy.</w:t>
        <w:br/>
        <w:br/>
        <w:t>4. **Medical Records and Specimen Availability:** The patient must have available medical records and a stored bone marrow specimen from the time of diagnosis.</w:t>
        <w:br/>
        <w:br/>
        <w:t>Given that the exclusion criteria do not include KIT mutations, and assuming the patient meets the above criteria, a patient with a KIT gene mutation would be eligible for this clinical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