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30</w:t>
      </w:r>
    </w:p>
    <w:p>
      <w:pPr>
        <w:pStyle w:val="Heading1"/>
      </w:pPr>
      <w:r>
        <w:t>Life-long Monitoring of COPD in Veneto Region</w:t>
      </w:r>
    </w:p>
    <w:p>
      <w:pPr>
        <w:pStyle w:val="Heading2"/>
      </w:pPr>
      <w:r>
        <w:t>Clinical Trial: https://clinicaltrials.gov/study/NCT01513980</w:t>
      </w:r>
    </w:p>
    <w:p>
      <w:r>
        <w:t xml:space="preserve">      "eligibilityCriteria": "Inclusion Criteria:\n\n* Age \u2265 18 years.\n* COPD GOLD class 3-4\n* Life expectance \\&gt; 12 months\n\nExclusion Criteria:\n\n\u2022 Patient unable to use the equipment provided (alone or assisted).",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clinical trial information you provided, the eligibility criteria focus on age, COPD classification, life expectancy, and ability to use equipment. There is no mention of genetic mutations, such as a KIT gene mutation, in the inclusion or exclusion criteria. Therefore, having a KIT gene mutation would neither qualify nor disqualify a patient from participating in this clinical trial based on the provided criteria. The patient would need to meet the specified inclusion and exclusion criteria related to age, COPD classification, life expectancy, and equipment use.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