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42</w:t>
      </w:r>
    </w:p>
    <w:p>
      <w:pPr>
        <w:pStyle w:val="Heading1"/>
      </w:pPr>
      <w:r>
        <w:t>Controlled Clinical Trial to Determine the Effective Dose of Cocoa in Lowering Blood Pressure</w:t>
      </w:r>
    </w:p>
    <w:p>
      <w:pPr>
        <w:pStyle w:val="Heading2"/>
      </w:pPr>
      <w:r>
        <w:t>Clinical Trial: https://clinicaltrials.gov/study/NCT01276951</w:t>
      </w:r>
    </w:p>
    <w:p>
      <w:r>
        <w:t xml:space="preserve">      "eligibilityCriteria": "Inclusion Criteria:\n\n* Male\n* Age: 18 - 65 years old\n* Resides in Medell\u00edn City\n* Attached from the contributive regimen of Colombian Health System\n* Essential Arterial Hypertension, stage I or II.\n* Be receiving pharmacologic therapy (maximum 2 medications), whose dose has been stable for eight weeks prior to study entry.\n* Voluntary desire to consume 6,5; 12; 25 or 50 grams of chocolate per day for 18 weeks.\n* Voluntary desire to participate in the trial and sign informed consent.\n\nExclusion Criteria:\n\n* Secondary hypertension\n* Injury in target organ: heart, kidney, brain and retina\n* Presence of diabetes mellitus\n* BMI (Body Mass Index) major or equal to 30\n* Present smoker or with less than four weeks of abstinence of tobacco\n* Consume antiplatelet substances\n* Regular consumption of antioxidants and multivitamins\n* During the study excluded any participant to present a sudden increase in blood pressure: SBP greater than or equal to 180 mmHg and/or DBP greater or equal to 110 mm Hg.",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inclusion and exclusion criteria, there is no mention of genetic mutations, including a KIT gene mutation, as a factor in eligibility for this trial. The trial focuses specifically on criteria related to hypertension, medication, lifestyle factors, and specific health conditions like diabetes or high BMI, but it does not reference genetic considerations.</w:t>
        <w:br/>
        <w:br/>
        <w:t>Therefore, a patient with a KIT gene mutation would not be excluded based on the mutation alone, as it is not addressed in the criteria. However, it is essential to review all other listed criteria to determine full eligibility. If the presence of the KIT mutation implicates any related health conditions not listed that could fall under the exclusion criteria, then those would need to be considered separately.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