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14</w:t>
      </w:r>
    </w:p>
    <w:p>
      <w:pPr>
        <w:pStyle w:val="Heading1"/>
      </w:pPr>
      <w:r>
        <w:t>Combined Biological Treatment and Chemotherapy for Patients With Inoperable Cholangiocarcinoma</w:t>
      </w:r>
    </w:p>
    <w:p>
      <w:pPr>
        <w:pStyle w:val="Heading2"/>
      </w:pPr>
      <w:r>
        <w:t>Clinical Trial: https://clinicaltrials.gov/study/NCT00779454</w:t>
      </w:r>
    </w:p>
    <w:p>
      <w:r>
        <w:t xml:space="preserve">      "eligibilityCriteria": "Inclusion Criteria:\n\n* Histologically verified adenocarcinoma arisen from gallbladder, extra or intrahepatic bile ducts or malignant cells consistent with the above and concomitant radiologic findings consistent with cholangiocarcinoma.\n* Curative treatment presently discounted (surgery, stereotactic radiotherapy, etc.)\n* KRAS analyzed and found wild-type (wt) or mutated\n* PS 0-2\n* Evaluable disease according to RECIST criteria, i.e., the disease does not need to be measurable\n* Haematology:\n\n  * ANC \u2265 1.5 x 10\\^9/l\n  * Thrombocytes \u2265 100x10\\^9/l\n* Biochemistry:\n\n  * Bilirubinaemia \u2264 3 x upper normal value\n  * ALAT \u2264 5 x upper normal value\n* Creatinin \u2264 upper normal value. If raised creatinin, the measured or calculated GFR must be at least 50% of the lower normal value.\n* Fertile women must present a negative pregnancy test and use birth control during and 3 months after treatment. The following methods are considered safe birth control: Birth control pills, coil, gestagen deposit injection, subdermal implantation, hormonal vagina ring, and transdermal deposit band-aid)\n* Oral and written informed consent\n\nExclusion Criteria:\n\n* Chemotherapy within 4 weeks\n* Radiotherapy within 4 weeks\n* Immunotherapy within 4 weeks\n* Other concomitant experimental treatment\n* Known neuropathy \u2265 grade 2\n* Serious congruous medical disease\n* Other previous malignant disease within 5 years, excl. non-melanoma skin cancer and carcinoma in situ cervicis uteri\n* Previous serious and unexpected reactions to fluoropyrimidine treatment\n* Hypersensitivity to one or more of the active substances, auxiliary substances or fluoruracil\n* Patients with interstitial pneumonitis or pulmonary fibrosis",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for the clinical trial, a patient with a KRAS gene mutation would be eligible to participate. The inclusion criteria specifically state that the KRAS gene must be analyzed and can be either wild-type (wt) or mutated. Therefore, both KRAS wild-type and mutated patients meet this particular requirement for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