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KRAS - Document 25</w:t>
      </w:r>
    </w:p>
    <w:p>
      <w:pPr>
        <w:pStyle w:val="Heading1"/>
      </w:pPr>
      <w:r>
        <w:t>A Phase Ib Study of MEK162 Plus BYL719 in Adult Patients With Selected Advanced Solid Tumors</w:t>
      </w:r>
    </w:p>
    <w:p>
      <w:pPr>
        <w:pStyle w:val="Heading2"/>
      </w:pPr>
      <w:r>
        <w:t>Clinical Trial: https://clinicaltrials.gov/study/NCT01449058</w:t>
      </w:r>
    </w:p>
    <w:p>
      <w:r>
        <w:t xml:space="preserve">      "eligibilityCriteria": "Inclusion Criteria:\n\n* Histologically/cytologically confirmed, advanced solid tumors, AML or high risk and very high risk MDS\n* Measurable disease as determined by RECIST 1.1\n\nExclusion Criteria:\n\n* Primary CNS tumor or CNS tumor involvement\n* Diabetes mellitus\n* Unacceptable ocular/retinal conditions\n* Clinically significant cardiac disease or impaired cardiac function",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KRAS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provided clinical trial information, there are no criteria related to KRAS gene mutations mentioned in either the inclusion or exclusion criteria. Therefore, a patient with a KRAS gene mutation would be eligible for the clinical trial as long as they meet the other eligibility requirements (such as having a confirmed advanced solid tumor, AML, or high-risk MDS, measurable disease, and not having any exclusion conditions like primary CNS tumor, diabetes mellitus, unacceptable ocular/retinal conditions, or significant cardiac disease).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