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27</w:t>
      </w:r>
    </w:p>
    <w:p>
      <w:pPr>
        <w:pStyle w:val="Heading1"/>
      </w:pPr>
      <w:r>
        <w:t>FOLFOXIRI Plus Panitumumab In Kras and Braf Wild-Type Metastatic Colorectal Cancer</w:t>
      </w:r>
    </w:p>
    <w:p>
      <w:pPr>
        <w:pStyle w:val="Heading2"/>
      </w:pPr>
      <w:r>
        <w:t>Clinical Trial: https://clinicaltrials.gov/study/NCT01358812</w:t>
      </w:r>
    </w:p>
    <w:p>
      <w:r>
        <w:t xml:space="preserve">      "eligibilityCriteria": "Inclusion Criteria:\n\n* Histologically confirmed colorectal adenocarcinoma;\n* Availability of formalin-fixed paraffin embedded tumor block from primary or metastasis;\n* KRAS and BRAF wild-type status of primary colorectal cancer or related metastasis;\n* Unresectable and measurable metastatic disease according to RECIST criteria;\n* Male or female, aged \\&gt;/= 18 years and \\&lt;/= 75 years;\n* ECOG PS \\&lt; 2 if aged \\&lt; 71 years;\n* ECOG PS = 0 if aged 71-75 years;\n* Life expectancy of more than 3 months;\n* Adequate haematological function: ANC \u2265 1.5 x 109/L; platelets \u2265 100 x 109/L, Hb \u2265 9 g/dL;\n* Adequate liver function: serum bilirubin \u2264 1.5 x ULN; alkaline phosphatase and transaminases \u2264 2.5 x ULN (in case of liver metastases \\&lt; 5 x ULN);\n* Serum creatinine \u2264 1.5 x ULN;\n* Previous adjuvant chemotherapy is allowed if more than 12 months have elapsed between the end of adjuvant therapy and first relapse;\n* At least 6 weeks from prior radiotherapy and 4 weeks from surgery;\n* Written informed consent to experimental treatment and pharmacogenomic analyses;\n* Magnesium \u2265 lower limit of normal;\n* Calcium \u2265 lower limit of normal.\n\nExclusion Criteria:\n\n* Prior palliative chemotherapy;\n* Prior treatment with EGFR inhibitors;\n* Symptomatic peripheral neuropathy \u2265 2 grade NCIC-CTG criteria;\n* Presence or history of CNS metastasis;\n* Active uncontrolled infections; active disseminated intravascular coagulation;\n* Past or current history of malignancies other than colorectal carcinoma, except for curatively treated basal and squamous cell carcinoma of the skin cancer or in situ carcinoma of the cervix;\n* Clinically significant cardiovascular disease, for example cerebrovascular accidents (CVA) (\u2264 6 months before treatment start), myocardial infarction (\u2264 6 months before treatment start), unstable angina, NYHA \u2265 grade 2 chronic heart failure (CHF), uncontrolled arrhythmia;\n* Fertile women (\\&lt; 2 years after last menstruation) and men of childbearing potential not willing to use effective means of contraception;\n* Subject pregnant or breast feeding, or planning to become pregnant within 6 months after the end of treatment;\n* History of interstitial lung disease e.g. pneumonitis or pulmonary fibrosis or evidence of interstitial lung disease on baseline chest CT scan.",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eligibility criteria provided for the clinical trial, a patient with a KRAS gene mutation would not be eligible. The inclusion criteria specifically state the requirement for "KRAS and BRAF wild-type status" of the primary colorectal cancer or related metastasis. This means that only patients without mutations in the KRAS gene (i.e., those who are KRAS wild-type) would be eligible for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