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43</w:t>
      </w:r>
    </w:p>
    <w:p>
      <w:pPr>
        <w:pStyle w:val="Heading1"/>
      </w:pPr>
      <w:r>
        <w:t>RAS Switch in Patients With Metastatic RAS Native Colorectal Tumors Treated With 1st Line FOLFIRI-Cetuximab</w:t>
      </w:r>
    </w:p>
    <w:p>
      <w:pPr>
        <w:pStyle w:val="Heading2"/>
      </w:pPr>
      <w:r>
        <w:t>Clinical Trial: https://clinicaltrials.gov/study/NCT01943786</w:t>
      </w:r>
    </w:p>
    <w:p>
      <w:r>
        <w:t xml:space="preserve">      "eligibilityCriteria": "Inclusion Criteria:\n\n* Diagnosis of stage IV colorectal adenocarcinoma.\n* Patient \u2265 18 years of age.\n* ECOG PS 0-1\n* Life expectancy \u2265 6 months\n* Candidate for first-line systemic chemotherapy according to regular clinical practice.\n* Measurable disease.\n* Wild-type KRAS\n* Signed informed consent form.\n\nExclusion Criteria:\n\n* Patient who has received prior chemotherapy for metastatic CRC, except for adjuvant treatment completed at least six months before entering study.\n* Patient in whom there is a contraindication for the use of any of the drugs used in first-line treatment of colorectal cancer: 5-fluorouracil,, irinotecan or cetuximab",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metastatic colorectal c\u00e1ncer and wild-type KRAS treated with Folfiri-Cetuximab as first-line treatment.",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eligibility criteria provided, a patient with a KRAS gene mutation would not be eligible for this clinical trial. The inclusion criteria specifically require patients to have wild-type KRAS status. Therefore, only patients without a KRAS gene mutation (i.e., with wild-type KRAS) can participate in the study.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