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1331D" w14:textId="2A27505D" w:rsidR="000B392A" w:rsidRDefault="00420FB9" w:rsidP="00420FB9">
      <w:pPr>
        <w:spacing w:line="480" w:lineRule="auto"/>
        <w:rPr>
          <w:rFonts w:ascii="Times New Roman" w:hAnsi="Times New Roman" w:cs="Times New Roman"/>
          <w:sz w:val="24"/>
          <w:szCs w:val="24"/>
        </w:rPr>
      </w:pPr>
      <w:r w:rsidRPr="002B4CB8">
        <w:rPr>
          <w:rFonts w:ascii="Times New Roman" w:hAnsi="Times New Roman" w:cs="Times New Roman"/>
          <w:b/>
          <w:bCs/>
          <w:sz w:val="24"/>
          <w:szCs w:val="24"/>
        </w:rPr>
        <w:t>Working Title:</w:t>
      </w:r>
      <w:r>
        <w:rPr>
          <w:rFonts w:ascii="Times New Roman" w:hAnsi="Times New Roman" w:cs="Times New Roman"/>
          <w:sz w:val="24"/>
          <w:szCs w:val="24"/>
        </w:rPr>
        <w:t xml:space="preserve"> </w:t>
      </w:r>
      <w:r w:rsidR="0031069D">
        <w:rPr>
          <w:rFonts w:ascii="Times New Roman" w:hAnsi="Times New Roman" w:cs="Times New Roman"/>
          <w:sz w:val="24"/>
          <w:szCs w:val="24"/>
        </w:rPr>
        <w:t>Four-year trajectories of s</w:t>
      </w:r>
      <w:r w:rsidR="002B4CB8" w:rsidRPr="002B4CB8">
        <w:rPr>
          <w:rFonts w:ascii="Times New Roman" w:hAnsi="Times New Roman" w:cs="Times New Roman"/>
          <w:sz w:val="24"/>
          <w:szCs w:val="24"/>
        </w:rPr>
        <w:t xml:space="preserve">ubcanopy plant functional trait response to </w:t>
      </w:r>
      <w:r w:rsidR="0031069D">
        <w:rPr>
          <w:rFonts w:ascii="Times New Roman" w:hAnsi="Times New Roman" w:cs="Times New Roman"/>
          <w:sz w:val="24"/>
          <w:szCs w:val="24"/>
        </w:rPr>
        <w:t>experimental disturbance</w:t>
      </w:r>
      <w:r w:rsidR="002B4CB8" w:rsidRPr="002B4CB8">
        <w:rPr>
          <w:rFonts w:ascii="Times New Roman" w:hAnsi="Times New Roman" w:cs="Times New Roman"/>
          <w:sz w:val="24"/>
          <w:szCs w:val="24"/>
        </w:rPr>
        <w:t xml:space="preserve"> and implications for ecosystem net primary </w:t>
      </w:r>
      <w:r w:rsidR="004117FF">
        <w:rPr>
          <w:rFonts w:ascii="Times New Roman" w:hAnsi="Times New Roman" w:cs="Times New Roman"/>
          <w:sz w:val="24"/>
          <w:szCs w:val="24"/>
        </w:rPr>
        <w:t>productio</w:t>
      </w:r>
      <w:r w:rsidR="002B4CB8" w:rsidRPr="002B4CB8">
        <w:rPr>
          <w:rFonts w:ascii="Times New Roman" w:hAnsi="Times New Roman" w:cs="Times New Roman"/>
          <w:sz w:val="24"/>
          <w:szCs w:val="24"/>
        </w:rPr>
        <w:t>n</w:t>
      </w:r>
      <w:r w:rsidR="00D023FA">
        <w:rPr>
          <w:rFonts w:ascii="Times New Roman" w:hAnsi="Times New Roman" w:cs="Times New Roman"/>
          <w:sz w:val="24"/>
          <w:szCs w:val="24"/>
        </w:rPr>
        <w:t xml:space="preserve"> resilience</w:t>
      </w:r>
    </w:p>
    <w:p w14:paraId="26FFA92F" w14:textId="2FA18AA4" w:rsidR="002B4CB8" w:rsidRDefault="002B4CB8" w:rsidP="00420FB9">
      <w:pPr>
        <w:spacing w:line="480" w:lineRule="auto"/>
        <w:rPr>
          <w:rFonts w:ascii="Times New Roman" w:hAnsi="Times New Roman" w:cs="Times New Roman"/>
          <w:sz w:val="24"/>
          <w:szCs w:val="24"/>
        </w:rPr>
      </w:pPr>
      <w:r>
        <w:rPr>
          <w:rFonts w:ascii="Times New Roman" w:hAnsi="Times New Roman" w:cs="Times New Roman"/>
          <w:sz w:val="24"/>
          <w:szCs w:val="24"/>
        </w:rPr>
        <w:t>Authors: Lisa T. Haber, Jeff Atkins,</w:t>
      </w:r>
      <w:r w:rsidR="004117FF">
        <w:rPr>
          <w:rFonts w:ascii="Times New Roman" w:hAnsi="Times New Roman" w:cs="Times New Roman"/>
          <w:sz w:val="24"/>
          <w:szCs w:val="24"/>
        </w:rPr>
        <w:t xml:space="preserve"> Max Grigri, Kerstin </w:t>
      </w:r>
      <w:proofErr w:type="spellStart"/>
      <w:r w:rsidR="004117FF">
        <w:rPr>
          <w:rFonts w:ascii="Times New Roman" w:hAnsi="Times New Roman" w:cs="Times New Roman"/>
          <w:sz w:val="24"/>
          <w:szCs w:val="24"/>
        </w:rPr>
        <w:t>Niedermaier</w:t>
      </w:r>
      <w:proofErr w:type="spellEnd"/>
      <w:r w:rsidR="004117FF">
        <w:rPr>
          <w:rFonts w:ascii="Times New Roman" w:hAnsi="Times New Roman" w:cs="Times New Roman"/>
          <w:sz w:val="24"/>
          <w:szCs w:val="24"/>
        </w:rPr>
        <w:t>,</w:t>
      </w:r>
      <w:r>
        <w:rPr>
          <w:rFonts w:ascii="Times New Roman" w:hAnsi="Times New Roman" w:cs="Times New Roman"/>
          <w:sz w:val="24"/>
          <w:szCs w:val="24"/>
        </w:rPr>
        <w:t xml:space="preserve"> Ben P. Bond-</w:t>
      </w:r>
      <w:proofErr w:type="spellStart"/>
      <w:r>
        <w:rPr>
          <w:rFonts w:ascii="Times New Roman" w:hAnsi="Times New Roman" w:cs="Times New Roman"/>
          <w:sz w:val="24"/>
          <w:szCs w:val="24"/>
        </w:rPr>
        <w:t>Lamberty</w:t>
      </w:r>
      <w:proofErr w:type="spellEnd"/>
      <w:r>
        <w:rPr>
          <w:rFonts w:ascii="Times New Roman" w:hAnsi="Times New Roman" w:cs="Times New Roman"/>
          <w:sz w:val="24"/>
          <w:szCs w:val="24"/>
        </w:rPr>
        <w:t>, Christopher M. Gough</w:t>
      </w:r>
    </w:p>
    <w:p w14:paraId="15058090" w14:textId="28B88D14" w:rsidR="002B4CB8" w:rsidRDefault="002B4CB8" w:rsidP="00420FB9">
      <w:pPr>
        <w:spacing w:line="480" w:lineRule="auto"/>
        <w:rPr>
          <w:rFonts w:ascii="Times New Roman" w:hAnsi="Times New Roman" w:cs="Times New Roman"/>
          <w:sz w:val="24"/>
          <w:szCs w:val="24"/>
        </w:rPr>
      </w:pPr>
      <w:r>
        <w:rPr>
          <w:rFonts w:ascii="Times New Roman" w:hAnsi="Times New Roman" w:cs="Times New Roman"/>
          <w:sz w:val="24"/>
          <w:szCs w:val="24"/>
        </w:rPr>
        <w:t>Ins</w:t>
      </w:r>
      <w:r w:rsidR="004117FF">
        <w:rPr>
          <w:rFonts w:ascii="Times New Roman" w:hAnsi="Times New Roman" w:cs="Times New Roman"/>
          <w:sz w:val="24"/>
          <w:szCs w:val="24"/>
        </w:rPr>
        <w:t>t</w:t>
      </w:r>
      <w:r>
        <w:rPr>
          <w:rFonts w:ascii="Times New Roman" w:hAnsi="Times New Roman" w:cs="Times New Roman"/>
          <w:sz w:val="24"/>
          <w:szCs w:val="24"/>
        </w:rPr>
        <w:t>itutional Affiliations:</w:t>
      </w:r>
    </w:p>
    <w:p w14:paraId="393A81DE" w14:textId="1BCDD4D5" w:rsidR="002B4CB8" w:rsidRDefault="002B4CB8" w:rsidP="00420FB9">
      <w:pPr>
        <w:spacing w:line="480" w:lineRule="auto"/>
        <w:rPr>
          <w:rFonts w:ascii="Times New Roman" w:hAnsi="Times New Roman" w:cs="Times New Roman"/>
          <w:sz w:val="24"/>
          <w:szCs w:val="24"/>
        </w:rPr>
      </w:pPr>
      <w:r>
        <w:rPr>
          <w:rFonts w:ascii="Times New Roman" w:hAnsi="Times New Roman" w:cs="Times New Roman"/>
          <w:sz w:val="24"/>
          <w:szCs w:val="24"/>
        </w:rPr>
        <w:t xml:space="preserve">Target Journal: </w:t>
      </w:r>
      <w:r w:rsidR="00D023FA" w:rsidRPr="00D023FA">
        <w:rPr>
          <w:rFonts w:ascii="Times New Roman" w:hAnsi="Times New Roman" w:cs="Times New Roman"/>
          <w:i/>
          <w:iCs/>
          <w:sz w:val="24"/>
          <w:szCs w:val="24"/>
        </w:rPr>
        <w:t>Functional Ecolog</w:t>
      </w:r>
      <w:r w:rsidR="00346B57">
        <w:rPr>
          <w:rFonts w:ascii="Times New Roman" w:hAnsi="Times New Roman" w:cs="Times New Roman"/>
          <w:i/>
          <w:iCs/>
          <w:sz w:val="24"/>
          <w:szCs w:val="24"/>
        </w:rPr>
        <w:t>y</w:t>
      </w:r>
    </w:p>
    <w:p w14:paraId="69F0764C" w14:textId="57E01D92" w:rsidR="002B4CB8" w:rsidRPr="00A95539" w:rsidRDefault="00373FD3" w:rsidP="00420FB9">
      <w:pPr>
        <w:spacing w:line="480" w:lineRule="auto"/>
        <w:rPr>
          <w:rFonts w:ascii="Times New Roman" w:hAnsi="Times New Roman" w:cs="Times New Roman"/>
          <w:b/>
          <w:bCs/>
          <w:sz w:val="24"/>
          <w:szCs w:val="24"/>
        </w:rPr>
      </w:pPr>
      <w:r w:rsidRPr="00A95539">
        <w:rPr>
          <w:rFonts w:ascii="Times New Roman" w:hAnsi="Times New Roman" w:cs="Times New Roman"/>
          <w:b/>
          <w:bCs/>
          <w:sz w:val="24"/>
          <w:szCs w:val="24"/>
        </w:rPr>
        <w:t xml:space="preserve">1. </w:t>
      </w:r>
      <w:r w:rsidR="002B4CB8" w:rsidRPr="00A95539">
        <w:rPr>
          <w:rFonts w:ascii="Times New Roman" w:hAnsi="Times New Roman" w:cs="Times New Roman"/>
          <w:b/>
          <w:bCs/>
          <w:sz w:val="24"/>
          <w:szCs w:val="24"/>
        </w:rPr>
        <w:t>Introduction:</w:t>
      </w:r>
    </w:p>
    <w:p w14:paraId="777986E8" w14:textId="722E9A19" w:rsidR="00175621" w:rsidRDefault="00F0228E" w:rsidP="00420FB9">
      <w:pPr>
        <w:spacing w:line="480" w:lineRule="auto"/>
        <w:rPr>
          <w:rFonts w:ascii="Times New Roman" w:hAnsi="Times New Roman" w:cs="Times New Roman"/>
          <w:sz w:val="24"/>
          <w:szCs w:val="24"/>
        </w:rPr>
      </w:pPr>
      <w:r>
        <w:rPr>
          <w:rFonts w:ascii="Times New Roman" w:hAnsi="Times New Roman" w:cs="Times New Roman"/>
          <w:sz w:val="24"/>
          <w:szCs w:val="24"/>
        </w:rPr>
        <w:t>Key</w:t>
      </w:r>
      <w:r w:rsidR="00F449BF">
        <w:rPr>
          <w:rFonts w:ascii="Times New Roman" w:hAnsi="Times New Roman" w:cs="Times New Roman"/>
          <w:sz w:val="24"/>
          <w:szCs w:val="24"/>
        </w:rPr>
        <w:t xml:space="preserve"> ideas:</w:t>
      </w:r>
    </w:p>
    <w:p w14:paraId="00DAA7EC" w14:textId="04AF54F6" w:rsidR="009A710E" w:rsidRDefault="009A710E" w:rsidP="00420FB9">
      <w:pPr>
        <w:spacing w:line="480" w:lineRule="auto"/>
        <w:rPr>
          <w:rFonts w:ascii="Times New Roman" w:hAnsi="Times New Roman" w:cs="Times New Roman"/>
          <w:sz w:val="24"/>
          <w:szCs w:val="24"/>
        </w:rPr>
      </w:pPr>
      <w:r>
        <w:rPr>
          <w:rFonts w:ascii="Times New Roman" w:hAnsi="Times New Roman" w:cs="Times New Roman"/>
          <w:sz w:val="24"/>
          <w:szCs w:val="24"/>
        </w:rPr>
        <w:tab/>
      </w:r>
      <w:r w:rsidR="0031069D">
        <w:rPr>
          <w:rFonts w:ascii="Times New Roman" w:hAnsi="Times New Roman" w:cs="Times New Roman"/>
          <w:sz w:val="24"/>
          <w:szCs w:val="24"/>
        </w:rPr>
        <w:t>[</w:t>
      </w:r>
      <w:r>
        <w:rPr>
          <w:rFonts w:ascii="Times New Roman" w:hAnsi="Times New Roman" w:cs="Times New Roman"/>
          <w:sz w:val="24"/>
          <w:szCs w:val="24"/>
        </w:rPr>
        <w:t>Why should we care?</w:t>
      </w:r>
      <w:r w:rsidR="0031069D">
        <w:rPr>
          <w:rFonts w:ascii="Times New Roman" w:hAnsi="Times New Roman" w:cs="Times New Roman"/>
          <w:sz w:val="24"/>
          <w:szCs w:val="24"/>
        </w:rPr>
        <w:t>]</w:t>
      </w:r>
      <w:r>
        <w:rPr>
          <w:rFonts w:ascii="Times New Roman" w:hAnsi="Times New Roman" w:cs="Times New Roman"/>
          <w:sz w:val="24"/>
          <w:szCs w:val="24"/>
        </w:rPr>
        <w:t xml:space="preserve"> We need better understanding of how forest C cycling responds to disturbance across realistic gradients of severity in order to more accurately forecast the future extent and functional trajectories of forests under global change. Our models are only as good as our assumptions, mechanistic understandings, and data.</w:t>
      </w:r>
      <w:r w:rsidR="0031069D">
        <w:rPr>
          <w:rFonts w:ascii="Times New Roman" w:hAnsi="Times New Roman" w:cs="Times New Roman"/>
          <w:sz w:val="24"/>
          <w:szCs w:val="24"/>
        </w:rPr>
        <w:t xml:space="preserve"> The subcanopy is critically important in supporting ecosystem production resilience following forest disturbance, yet we lack a full characterization of </w:t>
      </w:r>
      <w:r w:rsidR="00FD448B">
        <w:rPr>
          <w:rFonts w:ascii="Times New Roman" w:hAnsi="Times New Roman" w:cs="Times New Roman"/>
          <w:sz w:val="24"/>
          <w:szCs w:val="24"/>
        </w:rPr>
        <w:t xml:space="preserve">the disturbance-driven </w:t>
      </w:r>
      <w:r w:rsidR="0031069D">
        <w:rPr>
          <w:rFonts w:ascii="Times New Roman" w:hAnsi="Times New Roman" w:cs="Times New Roman"/>
          <w:sz w:val="24"/>
          <w:szCs w:val="24"/>
        </w:rPr>
        <w:t>subcanopy plant functional trait shifts following disturbance</w:t>
      </w:r>
      <w:r w:rsidR="00FD448B">
        <w:rPr>
          <w:rFonts w:ascii="Times New Roman" w:hAnsi="Times New Roman" w:cs="Times New Roman"/>
          <w:sz w:val="24"/>
          <w:szCs w:val="24"/>
        </w:rPr>
        <w:t xml:space="preserve"> needed to better parameterize ecosystem models</w:t>
      </w:r>
      <w:r w:rsidR="0031069D">
        <w:rPr>
          <w:rFonts w:ascii="Times New Roman" w:hAnsi="Times New Roman" w:cs="Times New Roman"/>
          <w:sz w:val="24"/>
          <w:szCs w:val="24"/>
        </w:rPr>
        <w:t>.</w:t>
      </w:r>
    </w:p>
    <w:p w14:paraId="23B93168" w14:textId="3D8E645E" w:rsidR="00F0228E" w:rsidRDefault="00F0228E" w:rsidP="00CA7C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know that compensatory subcanopy growth can be an important stabilizer of carbon uptake in forest ecosystems following disturbance, wherein a large fraction of mature canopy-dominant trees </w:t>
      </w:r>
      <w:proofErr w:type="gramStart"/>
      <w:r>
        <w:rPr>
          <w:rFonts w:ascii="Times New Roman" w:hAnsi="Times New Roman" w:cs="Times New Roman"/>
          <w:sz w:val="24"/>
          <w:szCs w:val="24"/>
        </w:rPr>
        <w:t>senesce</w:t>
      </w:r>
      <w:proofErr w:type="gramEnd"/>
      <w:r w:rsidR="0092343D">
        <w:rPr>
          <w:rFonts w:ascii="Times New Roman" w:hAnsi="Times New Roman" w:cs="Times New Roman"/>
          <w:sz w:val="24"/>
          <w:szCs w:val="24"/>
        </w:rPr>
        <w:t xml:space="preserve"> (REF: Fahey et al 2016, Stuart-</w:t>
      </w:r>
      <w:proofErr w:type="spellStart"/>
      <w:r w:rsidR="0092343D">
        <w:rPr>
          <w:rFonts w:ascii="Times New Roman" w:hAnsi="Times New Roman" w:cs="Times New Roman"/>
          <w:sz w:val="24"/>
          <w:szCs w:val="24"/>
        </w:rPr>
        <w:t>Haentjens</w:t>
      </w:r>
      <w:proofErr w:type="spellEnd"/>
      <w:r w:rsidR="0092343D">
        <w:rPr>
          <w:rFonts w:ascii="Times New Roman" w:hAnsi="Times New Roman" w:cs="Times New Roman"/>
          <w:sz w:val="24"/>
          <w:szCs w:val="24"/>
        </w:rPr>
        <w:t xml:space="preserve"> et al 2015)</w:t>
      </w:r>
      <w:r>
        <w:rPr>
          <w:rFonts w:ascii="Times New Roman" w:hAnsi="Times New Roman" w:cs="Times New Roman"/>
          <w:sz w:val="24"/>
          <w:szCs w:val="24"/>
        </w:rPr>
        <w:t xml:space="preserve">. </w:t>
      </w:r>
      <w:r w:rsidR="0092343D">
        <w:rPr>
          <w:rFonts w:ascii="Times New Roman" w:hAnsi="Times New Roman" w:cs="Times New Roman"/>
          <w:sz w:val="24"/>
          <w:szCs w:val="24"/>
        </w:rPr>
        <w:t xml:space="preserve">To date, however, few </w:t>
      </w:r>
      <w:r w:rsidR="004D0E28">
        <w:rPr>
          <w:rFonts w:ascii="Times New Roman" w:hAnsi="Times New Roman" w:cs="Times New Roman"/>
          <w:sz w:val="24"/>
          <w:szCs w:val="24"/>
        </w:rPr>
        <w:t xml:space="preserve">experimental </w:t>
      </w:r>
      <w:r w:rsidR="0092343D">
        <w:rPr>
          <w:rFonts w:ascii="Times New Roman" w:hAnsi="Times New Roman" w:cs="Times New Roman"/>
          <w:sz w:val="24"/>
          <w:szCs w:val="24"/>
        </w:rPr>
        <w:t xml:space="preserve">studies have attempted to scale leaf functional response to ecosystem net primary production </w:t>
      </w:r>
      <w:r w:rsidR="004D0E28">
        <w:rPr>
          <w:rFonts w:ascii="Times New Roman" w:hAnsi="Times New Roman" w:cs="Times New Roman"/>
          <w:sz w:val="24"/>
          <w:szCs w:val="24"/>
        </w:rPr>
        <w:t>following disturbance (REF).</w:t>
      </w:r>
      <w:r w:rsidR="0092343D">
        <w:rPr>
          <w:rFonts w:ascii="Times New Roman" w:hAnsi="Times New Roman" w:cs="Times New Roman"/>
          <w:sz w:val="24"/>
          <w:szCs w:val="24"/>
        </w:rPr>
        <w:t xml:space="preserve"> </w:t>
      </w:r>
      <w:r w:rsidR="004D0E28">
        <w:rPr>
          <w:rFonts w:ascii="Times New Roman" w:hAnsi="Times New Roman" w:cs="Times New Roman"/>
          <w:sz w:val="24"/>
          <w:szCs w:val="24"/>
        </w:rPr>
        <w:t xml:space="preserve">In particular, the timing and magnitude of key </w:t>
      </w:r>
      <w:r w:rsidR="004D0E28">
        <w:rPr>
          <w:rFonts w:ascii="Times New Roman" w:hAnsi="Times New Roman" w:cs="Times New Roman"/>
          <w:sz w:val="24"/>
          <w:szCs w:val="24"/>
        </w:rPr>
        <w:lastRenderedPageBreak/>
        <w:t xml:space="preserve">plant functional responses to disturbance across gradients of severity </w:t>
      </w:r>
      <w:r w:rsidR="00CA7CA4">
        <w:rPr>
          <w:rFonts w:ascii="Times New Roman" w:hAnsi="Times New Roman" w:cs="Times New Roman"/>
          <w:sz w:val="24"/>
          <w:szCs w:val="24"/>
        </w:rPr>
        <w:t>– and the mechanisms responsible for triggering such shifts in leaf function – remain understudied.</w:t>
      </w:r>
    </w:p>
    <w:p w14:paraId="1AAD371A" w14:textId="203D40A4" w:rsidR="00CA7CA4" w:rsidRDefault="00CA7CA4" w:rsidP="00420FB9">
      <w:pPr>
        <w:spacing w:line="480" w:lineRule="auto"/>
        <w:rPr>
          <w:rFonts w:ascii="Times New Roman" w:hAnsi="Times New Roman" w:cs="Times New Roman"/>
          <w:sz w:val="24"/>
          <w:szCs w:val="24"/>
        </w:rPr>
      </w:pPr>
      <w:r>
        <w:rPr>
          <w:rFonts w:ascii="Times New Roman" w:hAnsi="Times New Roman" w:cs="Times New Roman"/>
          <w:sz w:val="24"/>
          <w:szCs w:val="24"/>
        </w:rPr>
        <w:tab/>
        <w:t>Canopy structure is a putative driver of subcanopy functional response…</w:t>
      </w:r>
    </w:p>
    <w:p w14:paraId="21ADFD48" w14:textId="1829ED7D" w:rsidR="004117FF" w:rsidRDefault="004117FF" w:rsidP="00420FB9">
      <w:pPr>
        <w:spacing w:line="480" w:lineRule="auto"/>
        <w:rPr>
          <w:rFonts w:ascii="Times New Roman" w:hAnsi="Times New Roman" w:cs="Times New Roman"/>
          <w:sz w:val="24"/>
          <w:szCs w:val="24"/>
        </w:rPr>
      </w:pPr>
      <w:r>
        <w:rPr>
          <w:rFonts w:ascii="Times New Roman" w:hAnsi="Times New Roman" w:cs="Times New Roman"/>
          <w:sz w:val="24"/>
          <w:szCs w:val="24"/>
        </w:rPr>
        <w:t>Canopy structure is an important determinant of subcanopy growth as it controls access to resources like light</w:t>
      </w:r>
      <w:r w:rsidR="008C0D02">
        <w:rPr>
          <w:rFonts w:ascii="Times New Roman" w:hAnsi="Times New Roman" w:cs="Times New Roman"/>
          <w:sz w:val="24"/>
          <w:szCs w:val="24"/>
        </w:rPr>
        <w:t xml:space="preserve">. </w:t>
      </w:r>
      <w:r w:rsidR="00F0228E">
        <w:rPr>
          <w:rFonts w:ascii="Times New Roman" w:hAnsi="Times New Roman" w:cs="Times New Roman"/>
          <w:sz w:val="24"/>
          <w:szCs w:val="24"/>
        </w:rPr>
        <w:t>C</w:t>
      </w:r>
      <w:r w:rsidR="008C0D02">
        <w:rPr>
          <w:rFonts w:ascii="Times New Roman" w:hAnsi="Times New Roman" w:cs="Times New Roman"/>
          <w:sz w:val="24"/>
          <w:szCs w:val="24"/>
        </w:rPr>
        <w:t>anopy complexity determines light distribution and attenuation</w:t>
      </w:r>
      <w:r w:rsidR="00F0228E">
        <w:rPr>
          <w:rFonts w:ascii="Times New Roman" w:hAnsi="Times New Roman" w:cs="Times New Roman"/>
          <w:sz w:val="24"/>
          <w:szCs w:val="24"/>
        </w:rPr>
        <w:t xml:space="preserve"> through forest strata</w:t>
      </w:r>
      <w:r w:rsidR="008C0D02">
        <w:rPr>
          <w:rFonts w:ascii="Times New Roman" w:hAnsi="Times New Roman" w:cs="Times New Roman"/>
          <w:sz w:val="24"/>
          <w:szCs w:val="24"/>
        </w:rPr>
        <w:t xml:space="preserve"> (REF: Matsuo et al. 2021)</w:t>
      </w:r>
    </w:p>
    <w:p w14:paraId="1B8883D8" w14:textId="6FF3F38E" w:rsidR="00CA7CA4" w:rsidRDefault="00CA7CA4" w:rsidP="00420FB9">
      <w:pPr>
        <w:spacing w:line="480" w:lineRule="auto"/>
        <w:rPr>
          <w:rFonts w:ascii="Times New Roman" w:hAnsi="Times New Roman" w:cs="Times New Roman"/>
          <w:sz w:val="24"/>
          <w:szCs w:val="24"/>
        </w:rPr>
      </w:pPr>
      <w:r>
        <w:rPr>
          <w:rFonts w:ascii="Times New Roman" w:hAnsi="Times New Roman" w:cs="Times New Roman"/>
          <w:sz w:val="24"/>
          <w:szCs w:val="24"/>
        </w:rPr>
        <w:tab/>
        <w:t>Resource environment (light, nitrogen, water – reduced competition for these resources) is another…</w:t>
      </w:r>
    </w:p>
    <w:p w14:paraId="5D76809E" w14:textId="117D4272" w:rsidR="00C24B29" w:rsidRDefault="00CA7CA4" w:rsidP="00CA7C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Hypotheses &amp; rationale: </w:t>
      </w:r>
    </w:p>
    <w:p w14:paraId="6524C3B1" w14:textId="6E6FC95E" w:rsidR="00256875" w:rsidRDefault="00256875" w:rsidP="00420FB9">
      <w:pPr>
        <w:spacing w:line="480" w:lineRule="auto"/>
        <w:rPr>
          <w:rFonts w:ascii="Times New Roman" w:hAnsi="Times New Roman" w:cs="Times New Roman"/>
          <w:sz w:val="24"/>
          <w:szCs w:val="24"/>
        </w:rPr>
      </w:pPr>
      <w:r>
        <w:rPr>
          <w:rFonts w:ascii="Times New Roman" w:hAnsi="Times New Roman" w:cs="Times New Roman"/>
          <w:sz w:val="24"/>
          <w:szCs w:val="24"/>
        </w:rPr>
        <w:t xml:space="preserve">Expected increase in leaf mass per area with rising disturbance severity (Prado Junior et al. 2015) </w:t>
      </w:r>
    </w:p>
    <w:p w14:paraId="13763AA5" w14:textId="70F6D4A9" w:rsidR="002B4CB8" w:rsidRPr="00A95539" w:rsidRDefault="00373FD3" w:rsidP="00420FB9">
      <w:pPr>
        <w:spacing w:line="480" w:lineRule="auto"/>
        <w:rPr>
          <w:rFonts w:ascii="Times New Roman" w:hAnsi="Times New Roman" w:cs="Times New Roman"/>
          <w:b/>
          <w:bCs/>
          <w:sz w:val="24"/>
          <w:szCs w:val="24"/>
        </w:rPr>
      </w:pPr>
      <w:r w:rsidRPr="00A95539">
        <w:rPr>
          <w:rFonts w:ascii="Times New Roman" w:hAnsi="Times New Roman" w:cs="Times New Roman"/>
          <w:b/>
          <w:bCs/>
          <w:sz w:val="24"/>
          <w:szCs w:val="24"/>
        </w:rPr>
        <w:t xml:space="preserve">2. </w:t>
      </w:r>
      <w:r w:rsidR="002B4CB8" w:rsidRPr="00A95539">
        <w:rPr>
          <w:rFonts w:ascii="Times New Roman" w:hAnsi="Times New Roman" w:cs="Times New Roman"/>
          <w:b/>
          <w:bCs/>
          <w:sz w:val="24"/>
          <w:szCs w:val="24"/>
        </w:rPr>
        <w:t>Materials and Methods:</w:t>
      </w:r>
    </w:p>
    <w:p w14:paraId="48B37C74" w14:textId="2EF27B60" w:rsidR="00885A00" w:rsidRPr="00885A00" w:rsidRDefault="00373FD3" w:rsidP="00420FB9">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2.1 </w:t>
      </w:r>
      <w:r w:rsidR="00885A00" w:rsidRPr="00885A00">
        <w:rPr>
          <w:rFonts w:ascii="Times New Roman" w:hAnsi="Times New Roman" w:cs="Times New Roman"/>
          <w:i/>
          <w:iCs/>
          <w:sz w:val="24"/>
          <w:szCs w:val="24"/>
        </w:rPr>
        <w:t>Experimental design and site description</w:t>
      </w:r>
    </w:p>
    <w:p w14:paraId="148756FD" w14:textId="61B6E7C5" w:rsidR="00D023FA" w:rsidRDefault="00D023FA" w:rsidP="00F449B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study </w:t>
      </w:r>
      <w:r w:rsidR="00FB732F">
        <w:rPr>
          <w:rFonts w:ascii="Times New Roman" w:hAnsi="Times New Roman" w:cs="Times New Roman"/>
          <w:sz w:val="24"/>
          <w:szCs w:val="24"/>
        </w:rPr>
        <w:t>took place within the Forest Resilience Threshold Experiment (</w:t>
      </w:r>
      <w:proofErr w:type="spellStart"/>
      <w:r w:rsidR="00FB732F">
        <w:rPr>
          <w:rFonts w:ascii="Times New Roman" w:hAnsi="Times New Roman" w:cs="Times New Roman"/>
          <w:sz w:val="24"/>
          <w:szCs w:val="24"/>
        </w:rPr>
        <w:t>FoRTE</w:t>
      </w:r>
      <w:proofErr w:type="spellEnd"/>
      <w:r w:rsidR="00385858">
        <w:rPr>
          <w:rFonts w:ascii="Times New Roman" w:hAnsi="Times New Roman" w:cs="Times New Roman"/>
          <w:sz w:val="24"/>
          <w:szCs w:val="24"/>
        </w:rPr>
        <w:t>; Gough et al. 2020, Grigri et al. 2020</w:t>
      </w:r>
      <w:r w:rsidR="00FB732F">
        <w:rPr>
          <w:rFonts w:ascii="Times New Roman" w:hAnsi="Times New Roman" w:cs="Times New Roman"/>
          <w:sz w:val="24"/>
          <w:szCs w:val="24"/>
        </w:rPr>
        <w:t xml:space="preserve">), </w:t>
      </w:r>
      <w:r w:rsidR="00305B4F">
        <w:rPr>
          <w:rFonts w:ascii="Times New Roman" w:hAnsi="Times New Roman" w:cs="Times New Roman"/>
          <w:sz w:val="24"/>
          <w:szCs w:val="24"/>
        </w:rPr>
        <w:t xml:space="preserve">an ecosystem-scale disturbance manipulation at the University of Michigan Biological Station in northern lower peninsula Michigan (UMBS, 45.56°N, 84.67°W). </w:t>
      </w:r>
      <w:r w:rsidR="002555F6">
        <w:rPr>
          <w:rFonts w:ascii="Times New Roman" w:hAnsi="Times New Roman" w:cs="Times New Roman"/>
          <w:sz w:val="24"/>
          <w:szCs w:val="24"/>
        </w:rPr>
        <w:t>UMBS is dominated by</w:t>
      </w:r>
      <w:r w:rsidR="009A710E">
        <w:rPr>
          <w:rFonts w:ascii="Times New Roman" w:hAnsi="Times New Roman" w:cs="Times New Roman"/>
          <w:sz w:val="24"/>
          <w:szCs w:val="24"/>
        </w:rPr>
        <w:t xml:space="preserve"> </w:t>
      </w:r>
      <w:r w:rsidR="002555F6">
        <w:rPr>
          <w:rFonts w:ascii="Times New Roman" w:hAnsi="Times New Roman" w:cs="Times New Roman"/>
          <w:sz w:val="24"/>
          <w:szCs w:val="24"/>
        </w:rPr>
        <w:t xml:space="preserve">secondary growth </w:t>
      </w:r>
      <w:r w:rsidR="009A710E">
        <w:rPr>
          <w:rFonts w:ascii="Times New Roman" w:hAnsi="Times New Roman" w:cs="Times New Roman"/>
          <w:sz w:val="24"/>
          <w:szCs w:val="24"/>
        </w:rPr>
        <w:t>mixed deciduous and conifer</w:t>
      </w:r>
      <w:r w:rsidR="002555F6">
        <w:rPr>
          <w:rFonts w:ascii="Times New Roman" w:hAnsi="Times New Roman" w:cs="Times New Roman"/>
          <w:sz w:val="24"/>
          <w:szCs w:val="24"/>
        </w:rPr>
        <w:t>ous forest</w:t>
      </w:r>
      <w:r w:rsidR="009A710E">
        <w:rPr>
          <w:rFonts w:ascii="Times New Roman" w:hAnsi="Times New Roman" w:cs="Times New Roman"/>
          <w:sz w:val="24"/>
          <w:szCs w:val="24"/>
        </w:rPr>
        <w:t xml:space="preserve"> with mean annual precipitation of </w:t>
      </w:r>
      <w:r w:rsidR="00CB37EC">
        <w:rPr>
          <w:rFonts w:ascii="Times New Roman" w:hAnsi="Times New Roman" w:cs="Times New Roman"/>
          <w:sz w:val="24"/>
          <w:szCs w:val="24"/>
        </w:rPr>
        <w:t>817 mm</w:t>
      </w:r>
      <w:r w:rsidR="009A710E">
        <w:rPr>
          <w:rFonts w:ascii="Times New Roman" w:hAnsi="Times New Roman" w:cs="Times New Roman"/>
          <w:sz w:val="24"/>
          <w:szCs w:val="24"/>
        </w:rPr>
        <w:t xml:space="preserve"> and temperature of </w:t>
      </w:r>
      <w:r w:rsidR="00CB37EC">
        <w:rPr>
          <w:rFonts w:ascii="Times New Roman" w:hAnsi="Times New Roman" w:cs="Times New Roman"/>
          <w:sz w:val="24"/>
          <w:szCs w:val="24"/>
        </w:rPr>
        <w:t>5.5 °C</w:t>
      </w:r>
      <w:r w:rsidR="002555F6">
        <w:rPr>
          <w:rFonts w:ascii="Times New Roman" w:hAnsi="Times New Roman" w:cs="Times New Roman"/>
          <w:sz w:val="24"/>
          <w:szCs w:val="24"/>
        </w:rPr>
        <w:t xml:space="preserve"> (</w:t>
      </w:r>
      <w:r w:rsidR="00CB37EC">
        <w:rPr>
          <w:rFonts w:ascii="Times New Roman" w:hAnsi="Times New Roman" w:cs="Times New Roman"/>
          <w:sz w:val="24"/>
          <w:szCs w:val="24"/>
        </w:rPr>
        <w:t>Gough et al. 2013</w:t>
      </w:r>
      <w:r w:rsidR="002555F6">
        <w:rPr>
          <w:rFonts w:ascii="Times New Roman" w:hAnsi="Times New Roman" w:cs="Times New Roman"/>
          <w:sz w:val="24"/>
          <w:szCs w:val="24"/>
        </w:rPr>
        <w:t>)</w:t>
      </w:r>
      <w:r w:rsidR="009A710E">
        <w:rPr>
          <w:rFonts w:ascii="Times New Roman" w:hAnsi="Times New Roman" w:cs="Times New Roman"/>
          <w:sz w:val="24"/>
          <w:szCs w:val="24"/>
        </w:rPr>
        <w:t>.</w:t>
      </w:r>
      <w:r w:rsidR="00305B4F">
        <w:rPr>
          <w:rFonts w:ascii="Times New Roman" w:hAnsi="Times New Roman" w:cs="Times New Roman"/>
          <w:sz w:val="24"/>
          <w:szCs w:val="24"/>
        </w:rPr>
        <w:t xml:space="preserve"> The roughly century-old regrown forest</w:t>
      </w:r>
      <w:r w:rsidR="0004748D">
        <w:rPr>
          <w:rFonts w:ascii="Times New Roman" w:hAnsi="Times New Roman" w:cs="Times New Roman"/>
          <w:sz w:val="24"/>
          <w:szCs w:val="24"/>
        </w:rPr>
        <w:t xml:space="preserve"> of UMBS and the Upper Great Lakes </w:t>
      </w:r>
      <w:r w:rsidR="00B1267A">
        <w:rPr>
          <w:rFonts w:ascii="Times New Roman" w:hAnsi="Times New Roman" w:cs="Times New Roman"/>
          <w:sz w:val="24"/>
          <w:szCs w:val="24"/>
        </w:rPr>
        <w:t>R</w:t>
      </w:r>
      <w:r w:rsidR="0004748D">
        <w:rPr>
          <w:rFonts w:ascii="Times New Roman" w:hAnsi="Times New Roman" w:cs="Times New Roman"/>
          <w:sz w:val="24"/>
          <w:szCs w:val="24"/>
        </w:rPr>
        <w:t>egion</w:t>
      </w:r>
      <w:r w:rsidR="00305B4F">
        <w:rPr>
          <w:rFonts w:ascii="Times New Roman" w:hAnsi="Times New Roman" w:cs="Times New Roman"/>
          <w:sz w:val="24"/>
          <w:szCs w:val="24"/>
        </w:rPr>
        <w:t xml:space="preserve"> is </w:t>
      </w:r>
      <w:r w:rsidR="0004748D">
        <w:rPr>
          <w:rFonts w:ascii="Times New Roman" w:hAnsi="Times New Roman" w:cs="Times New Roman"/>
          <w:sz w:val="24"/>
          <w:szCs w:val="24"/>
        </w:rPr>
        <w:t>broadly</w:t>
      </w:r>
      <w:r w:rsidR="00305B4F">
        <w:rPr>
          <w:rFonts w:ascii="Times New Roman" w:hAnsi="Times New Roman" w:cs="Times New Roman"/>
          <w:sz w:val="24"/>
          <w:szCs w:val="24"/>
        </w:rPr>
        <w:t xml:space="preserve"> </w:t>
      </w:r>
      <w:r w:rsidR="00154910">
        <w:rPr>
          <w:rFonts w:ascii="Times New Roman" w:hAnsi="Times New Roman" w:cs="Times New Roman"/>
          <w:sz w:val="24"/>
          <w:szCs w:val="24"/>
        </w:rPr>
        <w:t>undergoing successional transition</w:t>
      </w:r>
      <w:r w:rsidR="000F17FE">
        <w:rPr>
          <w:rFonts w:ascii="Times New Roman" w:hAnsi="Times New Roman" w:cs="Times New Roman"/>
          <w:sz w:val="24"/>
          <w:szCs w:val="24"/>
        </w:rPr>
        <w:t xml:space="preserve"> (Wolter &amp; White REF)</w:t>
      </w:r>
      <w:r w:rsidR="00154910">
        <w:rPr>
          <w:rFonts w:ascii="Times New Roman" w:hAnsi="Times New Roman" w:cs="Times New Roman"/>
          <w:sz w:val="24"/>
          <w:szCs w:val="24"/>
        </w:rPr>
        <w:t>, with dominant tree species shifting from early successional aspen (</w:t>
      </w:r>
      <w:r w:rsidR="00154910" w:rsidRPr="000F17FE">
        <w:rPr>
          <w:rFonts w:ascii="Times New Roman" w:hAnsi="Times New Roman" w:cs="Times New Roman"/>
          <w:i/>
          <w:iCs/>
          <w:sz w:val="24"/>
          <w:szCs w:val="24"/>
        </w:rPr>
        <w:t xml:space="preserve">Populus </w:t>
      </w:r>
      <w:proofErr w:type="spellStart"/>
      <w:r w:rsidR="00154910" w:rsidRPr="000F17FE">
        <w:rPr>
          <w:rFonts w:ascii="Times New Roman" w:hAnsi="Times New Roman" w:cs="Times New Roman"/>
          <w:i/>
          <w:iCs/>
          <w:sz w:val="24"/>
          <w:szCs w:val="24"/>
        </w:rPr>
        <w:t>grandidentata</w:t>
      </w:r>
      <w:proofErr w:type="spellEnd"/>
      <w:r w:rsidR="00154910">
        <w:rPr>
          <w:rFonts w:ascii="Times New Roman" w:hAnsi="Times New Roman" w:cs="Times New Roman"/>
          <w:sz w:val="24"/>
          <w:szCs w:val="24"/>
        </w:rPr>
        <w:t xml:space="preserve"> and </w:t>
      </w:r>
      <w:r w:rsidR="00154910" w:rsidRPr="000F17FE">
        <w:rPr>
          <w:rFonts w:ascii="Times New Roman" w:hAnsi="Times New Roman" w:cs="Times New Roman"/>
          <w:i/>
          <w:iCs/>
          <w:sz w:val="24"/>
          <w:szCs w:val="24"/>
        </w:rPr>
        <w:t xml:space="preserve">P. </w:t>
      </w:r>
      <w:proofErr w:type="spellStart"/>
      <w:r w:rsidR="00154910" w:rsidRPr="000F17FE">
        <w:rPr>
          <w:rFonts w:ascii="Times New Roman" w:hAnsi="Times New Roman" w:cs="Times New Roman"/>
          <w:i/>
          <w:iCs/>
          <w:sz w:val="24"/>
          <w:szCs w:val="24"/>
        </w:rPr>
        <w:t>tremuloides</w:t>
      </w:r>
      <w:proofErr w:type="spellEnd"/>
      <w:r w:rsidR="00154910">
        <w:rPr>
          <w:rFonts w:ascii="Times New Roman" w:hAnsi="Times New Roman" w:cs="Times New Roman"/>
          <w:sz w:val="24"/>
          <w:szCs w:val="24"/>
        </w:rPr>
        <w:t>) and birch (</w:t>
      </w:r>
      <w:r w:rsidR="00154910" w:rsidRPr="000F17FE">
        <w:rPr>
          <w:rFonts w:ascii="Times New Roman" w:hAnsi="Times New Roman" w:cs="Times New Roman"/>
          <w:i/>
          <w:iCs/>
          <w:sz w:val="24"/>
          <w:szCs w:val="24"/>
        </w:rPr>
        <w:t xml:space="preserve">Betula </w:t>
      </w:r>
      <w:proofErr w:type="spellStart"/>
      <w:r w:rsidR="00154910" w:rsidRPr="000F17FE">
        <w:rPr>
          <w:rFonts w:ascii="Times New Roman" w:hAnsi="Times New Roman" w:cs="Times New Roman"/>
          <w:i/>
          <w:iCs/>
          <w:sz w:val="24"/>
          <w:szCs w:val="24"/>
        </w:rPr>
        <w:lastRenderedPageBreak/>
        <w:t>papyrifera</w:t>
      </w:r>
      <w:proofErr w:type="spellEnd"/>
      <w:r w:rsidR="00154910">
        <w:rPr>
          <w:rFonts w:ascii="Times New Roman" w:hAnsi="Times New Roman" w:cs="Times New Roman"/>
          <w:sz w:val="24"/>
          <w:szCs w:val="24"/>
        </w:rPr>
        <w:t>) to later successional species including northern red oak (</w:t>
      </w:r>
      <w:r w:rsidR="00154910" w:rsidRPr="000F17FE">
        <w:rPr>
          <w:rFonts w:ascii="Times New Roman" w:hAnsi="Times New Roman" w:cs="Times New Roman"/>
          <w:i/>
          <w:iCs/>
          <w:sz w:val="24"/>
          <w:szCs w:val="24"/>
        </w:rPr>
        <w:t>Quercus rubra</w:t>
      </w:r>
      <w:r w:rsidR="00154910">
        <w:rPr>
          <w:rFonts w:ascii="Times New Roman" w:hAnsi="Times New Roman" w:cs="Times New Roman"/>
          <w:sz w:val="24"/>
          <w:szCs w:val="24"/>
        </w:rPr>
        <w:t>), red maple (</w:t>
      </w:r>
      <w:r w:rsidR="00154910" w:rsidRPr="000F17FE">
        <w:rPr>
          <w:rFonts w:ascii="Times New Roman" w:hAnsi="Times New Roman" w:cs="Times New Roman"/>
          <w:i/>
          <w:iCs/>
          <w:sz w:val="24"/>
          <w:szCs w:val="24"/>
        </w:rPr>
        <w:t>Acer rubrum</w:t>
      </w:r>
      <w:r w:rsidR="00154910">
        <w:rPr>
          <w:rFonts w:ascii="Times New Roman" w:hAnsi="Times New Roman" w:cs="Times New Roman"/>
          <w:sz w:val="24"/>
          <w:szCs w:val="24"/>
        </w:rPr>
        <w:t>), American beech (</w:t>
      </w:r>
      <w:r w:rsidR="00154910" w:rsidRPr="000F17FE">
        <w:rPr>
          <w:rFonts w:ascii="Times New Roman" w:hAnsi="Times New Roman" w:cs="Times New Roman"/>
          <w:i/>
          <w:iCs/>
          <w:sz w:val="24"/>
          <w:szCs w:val="24"/>
        </w:rPr>
        <w:t xml:space="preserve">Fagus </w:t>
      </w:r>
      <w:proofErr w:type="spellStart"/>
      <w:r w:rsidR="00154910" w:rsidRPr="000F17FE">
        <w:rPr>
          <w:rFonts w:ascii="Times New Roman" w:hAnsi="Times New Roman" w:cs="Times New Roman"/>
          <w:i/>
          <w:iCs/>
          <w:sz w:val="24"/>
          <w:szCs w:val="24"/>
        </w:rPr>
        <w:t>grandifolia</w:t>
      </w:r>
      <w:proofErr w:type="spellEnd"/>
      <w:r w:rsidR="00154910">
        <w:rPr>
          <w:rFonts w:ascii="Times New Roman" w:hAnsi="Times New Roman" w:cs="Times New Roman"/>
          <w:sz w:val="24"/>
          <w:szCs w:val="24"/>
        </w:rPr>
        <w:t xml:space="preserve">), </w:t>
      </w:r>
      <w:r w:rsidR="00EF6A34">
        <w:rPr>
          <w:rFonts w:ascii="Times New Roman" w:hAnsi="Times New Roman" w:cs="Times New Roman"/>
          <w:sz w:val="24"/>
          <w:szCs w:val="24"/>
        </w:rPr>
        <w:t xml:space="preserve">and </w:t>
      </w:r>
      <w:r w:rsidR="00154910">
        <w:rPr>
          <w:rFonts w:ascii="Times New Roman" w:hAnsi="Times New Roman" w:cs="Times New Roman"/>
          <w:sz w:val="24"/>
          <w:szCs w:val="24"/>
        </w:rPr>
        <w:t>white pine (</w:t>
      </w:r>
      <w:r w:rsidR="00154910" w:rsidRPr="000F17FE">
        <w:rPr>
          <w:rFonts w:ascii="Times New Roman" w:hAnsi="Times New Roman" w:cs="Times New Roman"/>
          <w:i/>
          <w:iCs/>
          <w:sz w:val="24"/>
          <w:szCs w:val="24"/>
        </w:rPr>
        <w:t xml:space="preserve">Pinus </w:t>
      </w:r>
      <w:proofErr w:type="spellStart"/>
      <w:r w:rsidR="00154910" w:rsidRPr="000F17FE">
        <w:rPr>
          <w:rFonts w:ascii="Times New Roman" w:hAnsi="Times New Roman" w:cs="Times New Roman"/>
          <w:i/>
          <w:iCs/>
          <w:sz w:val="24"/>
          <w:szCs w:val="24"/>
        </w:rPr>
        <w:t>strobus</w:t>
      </w:r>
      <w:proofErr w:type="spellEnd"/>
      <w:r w:rsidR="00154910">
        <w:rPr>
          <w:rFonts w:ascii="Times New Roman" w:hAnsi="Times New Roman" w:cs="Times New Roman"/>
          <w:sz w:val="24"/>
          <w:szCs w:val="24"/>
        </w:rPr>
        <w:t>).</w:t>
      </w:r>
    </w:p>
    <w:p w14:paraId="4F7D9A80" w14:textId="28172D00" w:rsidR="00CB37EC" w:rsidRDefault="002555F6" w:rsidP="00F449BF">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FoRTE</w:t>
      </w:r>
      <w:proofErr w:type="spellEnd"/>
      <w:r w:rsidR="0004748D">
        <w:rPr>
          <w:rFonts w:ascii="Times New Roman" w:hAnsi="Times New Roman" w:cs="Times New Roman"/>
          <w:sz w:val="24"/>
          <w:szCs w:val="24"/>
        </w:rPr>
        <w:t xml:space="preserve"> is designed to disentangle the</w:t>
      </w:r>
      <w:r w:rsidR="00EF6A34">
        <w:rPr>
          <w:rFonts w:ascii="Times New Roman" w:hAnsi="Times New Roman" w:cs="Times New Roman"/>
          <w:sz w:val="24"/>
          <w:szCs w:val="24"/>
        </w:rPr>
        <w:t xml:space="preserve"> </w:t>
      </w:r>
      <w:r w:rsidR="00B1267A">
        <w:rPr>
          <w:rFonts w:ascii="Times New Roman" w:hAnsi="Times New Roman" w:cs="Times New Roman"/>
          <w:sz w:val="24"/>
          <w:szCs w:val="24"/>
        </w:rPr>
        <w:t>overlapping</w:t>
      </w:r>
      <w:r w:rsidR="0004748D">
        <w:rPr>
          <w:rFonts w:ascii="Times New Roman" w:hAnsi="Times New Roman" w:cs="Times New Roman"/>
          <w:sz w:val="24"/>
          <w:szCs w:val="24"/>
        </w:rPr>
        <w:t xml:space="preserve"> impacts of successional </w:t>
      </w:r>
      <w:r w:rsidR="00EF6A34">
        <w:rPr>
          <w:rFonts w:ascii="Times New Roman" w:hAnsi="Times New Roman" w:cs="Times New Roman"/>
          <w:sz w:val="24"/>
          <w:szCs w:val="24"/>
        </w:rPr>
        <w:t>shifts</w:t>
      </w:r>
      <w:r w:rsidR="0004748D">
        <w:rPr>
          <w:rFonts w:ascii="Times New Roman" w:hAnsi="Times New Roman" w:cs="Times New Roman"/>
          <w:sz w:val="24"/>
          <w:szCs w:val="24"/>
        </w:rPr>
        <w:t xml:space="preserve"> </w:t>
      </w:r>
      <w:r w:rsidR="00EF6A34">
        <w:rPr>
          <w:rFonts w:ascii="Times New Roman" w:hAnsi="Times New Roman" w:cs="Times New Roman"/>
          <w:sz w:val="24"/>
          <w:szCs w:val="24"/>
        </w:rPr>
        <w:t>and</w:t>
      </w:r>
      <w:r w:rsidR="0004748D">
        <w:rPr>
          <w:rFonts w:ascii="Times New Roman" w:hAnsi="Times New Roman" w:cs="Times New Roman"/>
          <w:sz w:val="24"/>
          <w:szCs w:val="24"/>
        </w:rPr>
        <w:t xml:space="preserve"> moderately severe disturbance</w:t>
      </w:r>
      <w:r w:rsidR="00EF6A34">
        <w:rPr>
          <w:rFonts w:ascii="Times New Roman" w:hAnsi="Times New Roman" w:cs="Times New Roman"/>
          <w:sz w:val="24"/>
          <w:szCs w:val="24"/>
        </w:rPr>
        <w:t>s</w:t>
      </w:r>
      <w:r w:rsidR="0004748D">
        <w:rPr>
          <w:rFonts w:ascii="Times New Roman" w:hAnsi="Times New Roman" w:cs="Times New Roman"/>
          <w:sz w:val="24"/>
          <w:szCs w:val="24"/>
        </w:rPr>
        <w:t xml:space="preserve"> </w:t>
      </w:r>
      <w:r w:rsidR="005C3A2E">
        <w:rPr>
          <w:rFonts w:ascii="Times New Roman" w:hAnsi="Times New Roman" w:cs="Times New Roman"/>
          <w:sz w:val="24"/>
          <w:szCs w:val="24"/>
        </w:rPr>
        <w:t xml:space="preserve">– </w:t>
      </w:r>
      <w:r w:rsidR="0004748D">
        <w:rPr>
          <w:rFonts w:ascii="Times New Roman" w:hAnsi="Times New Roman" w:cs="Times New Roman"/>
          <w:sz w:val="24"/>
          <w:szCs w:val="24"/>
        </w:rPr>
        <w:t xml:space="preserve">such as those imposed by </w:t>
      </w:r>
      <w:r w:rsidR="00C11B98">
        <w:rPr>
          <w:rFonts w:ascii="Times New Roman" w:hAnsi="Times New Roman" w:cs="Times New Roman"/>
          <w:sz w:val="24"/>
          <w:szCs w:val="24"/>
        </w:rPr>
        <w:t>defoliating insects, severe weather events, or novel fungal pathogens</w:t>
      </w:r>
      <w:r w:rsidR="005C3A2E">
        <w:rPr>
          <w:rFonts w:ascii="Times New Roman" w:hAnsi="Times New Roman" w:cs="Times New Roman"/>
          <w:sz w:val="24"/>
          <w:szCs w:val="24"/>
        </w:rPr>
        <w:t xml:space="preserve"> –</w:t>
      </w:r>
      <w:r w:rsidR="00C11B98">
        <w:rPr>
          <w:rFonts w:ascii="Times New Roman" w:hAnsi="Times New Roman" w:cs="Times New Roman"/>
          <w:sz w:val="24"/>
          <w:szCs w:val="24"/>
        </w:rPr>
        <w:t xml:space="preserve"> on the temperate forest C cycle</w:t>
      </w:r>
      <w:r w:rsidR="005C3A2E">
        <w:rPr>
          <w:rFonts w:ascii="Times New Roman" w:hAnsi="Times New Roman" w:cs="Times New Roman"/>
          <w:sz w:val="24"/>
          <w:szCs w:val="24"/>
        </w:rPr>
        <w:t xml:space="preserve">. </w:t>
      </w:r>
      <w:r w:rsidR="00B1267A">
        <w:rPr>
          <w:rFonts w:ascii="Times New Roman" w:hAnsi="Times New Roman" w:cs="Times New Roman"/>
          <w:sz w:val="24"/>
          <w:szCs w:val="24"/>
        </w:rPr>
        <w:t>Simulation of these coincident regional events</w:t>
      </w:r>
      <w:r w:rsidR="005C3A2E">
        <w:rPr>
          <w:rFonts w:ascii="Times New Roman" w:hAnsi="Times New Roman" w:cs="Times New Roman"/>
          <w:sz w:val="24"/>
          <w:szCs w:val="24"/>
        </w:rPr>
        <w:t xml:space="preserve"> </w:t>
      </w:r>
      <w:r w:rsidR="00B1267A">
        <w:rPr>
          <w:rFonts w:ascii="Times New Roman" w:hAnsi="Times New Roman" w:cs="Times New Roman"/>
          <w:sz w:val="24"/>
          <w:szCs w:val="24"/>
        </w:rPr>
        <w:t>is achieved</w:t>
      </w:r>
      <w:r w:rsidR="00C11B98">
        <w:rPr>
          <w:rFonts w:ascii="Times New Roman" w:hAnsi="Times New Roman" w:cs="Times New Roman"/>
          <w:sz w:val="24"/>
          <w:szCs w:val="24"/>
        </w:rPr>
        <w:t xml:space="preserve"> through experimental implementation of disturbance across a</w:t>
      </w:r>
      <w:r w:rsidR="00CB37EC">
        <w:rPr>
          <w:rFonts w:ascii="Times New Roman" w:hAnsi="Times New Roman" w:cs="Times New Roman"/>
          <w:sz w:val="24"/>
          <w:szCs w:val="24"/>
        </w:rPr>
        <w:t xml:space="preserve"> controlled,</w:t>
      </w:r>
      <w:r w:rsidR="00C11B98">
        <w:rPr>
          <w:rFonts w:ascii="Times New Roman" w:hAnsi="Times New Roman" w:cs="Times New Roman"/>
          <w:sz w:val="24"/>
          <w:szCs w:val="24"/>
        </w:rPr>
        <w:t xml:space="preserve"> replicated gradient of severity and </w:t>
      </w:r>
      <w:r w:rsidR="00F67E1C">
        <w:rPr>
          <w:rFonts w:ascii="Times New Roman" w:hAnsi="Times New Roman" w:cs="Times New Roman"/>
          <w:sz w:val="24"/>
          <w:szCs w:val="24"/>
        </w:rPr>
        <w:t xml:space="preserve">two </w:t>
      </w:r>
      <w:r w:rsidR="00C11B98">
        <w:rPr>
          <w:rFonts w:ascii="Times New Roman" w:hAnsi="Times New Roman" w:cs="Times New Roman"/>
          <w:sz w:val="24"/>
          <w:szCs w:val="24"/>
        </w:rPr>
        <w:t>contrasting</w:t>
      </w:r>
      <w:r w:rsidR="00F67E1C">
        <w:rPr>
          <w:rFonts w:ascii="Times New Roman" w:hAnsi="Times New Roman" w:cs="Times New Roman"/>
          <w:sz w:val="24"/>
          <w:szCs w:val="24"/>
        </w:rPr>
        <w:t xml:space="preserve"> treatment</w:t>
      </w:r>
      <w:r w:rsidR="00C11B98">
        <w:rPr>
          <w:rFonts w:ascii="Times New Roman" w:hAnsi="Times New Roman" w:cs="Times New Roman"/>
          <w:sz w:val="24"/>
          <w:szCs w:val="24"/>
        </w:rPr>
        <w:t xml:space="preserve"> types, each of which targets a different successional cohort of stems</w:t>
      </w:r>
      <w:r w:rsidR="00F67E1C">
        <w:rPr>
          <w:rFonts w:ascii="Times New Roman" w:hAnsi="Times New Roman" w:cs="Times New Roman"/>
          <w:sz w:val="24"/>
          <w:szCs w:val="24"/>
        </w:rPr>
        <w:t>.</w:t>
      </w:r>
      <w:r w:rsidR="00CB37EC">
        <w:rPr>
          <w:rFonts w:ascii="Times New Roman" w:hAnsi="Times New Roman" w:cs="Times New Roman"/>
          <w:sz w:val="24"/>
          <w:szCs w:val="24"/>
        </w:rPr>
        <w:t xml:space="preserve"> Targeted gross defoliation levels of 0</w:t>
      </w:r>
      <w:r w:rsidR="00AB49FA">
        <w:rPr>
          <w:rFonts w:ascii="Times New Roman" w:hAnsi="Times New Roman" w:cs="Times New Roman"/>
          <w:sz w:val="24"/>
          <w:szCs w:val="24"/>
        </w:rPr>
        <w:t xml:space="preserve"> (control)</w:t>
      </w:r>
      <w:r w:rsidR="00CB37EC">
        <w:rPr>
          <w:rFonts w:ascii="Times New Roman" w:hAnsi="Times New Roman" w:cs="Times New Roman"/>
          <w:sz w:val="24"/>
          <w:szCs w:val="24"/>
        </w:rPr>
        <w:t xml:space="preserve">, 45, 65, and 85 % LAI loss were chosen to span a gradient from moderate to severe disturbance, while “top-down” and “bottom-up” treatment types </w:t>
      </w:r>
      <w:r w:rsidR="00AB49FA">
        <w:rPr>
          <w:rFonts w:ascii="Times New Roman" w:hAnsi="Times New Roman" w:cs="Times New Roman"/>
          <w:sz w:val="24"/>
          <w:szCs w:val="24"/>
        </w:rPr>
        <w:t xml:space="preserve">were implemented to sequentially </w:t>
      </w:r>
      <w:r w:rsidR="00B1267A">
        <w:rPr>
          <w:rFonts w:ascii="Times New Roman" w:hAnsi="Times New Roman" w:cs="Times New Roman"/>
          <w:sz w:val="24"/>
          <w:szCs w:val="24"/>
        </w:rPr>
        <w:t>eliminate</w:t>
      </w:r>
      <w:r w:rsidR="00AB49FA">
        <w:rPr>
          <w:rFonts w:ascii="Times New Roman" w:hAnsi="Times New Roman" w:cs="Times New Roman"/>
          <w:sz w:val="24"/>
          <w:szCs w:val="24"/>
        </w:rPr>
        <w:t xml:space="preserve"> the largest and smallest stems, respectively, until the </w:t>
      </w:r>
      <w:r w:rsidR="00866A5F">
        <w:rPr>
          <w:rFonts w:ascii="Times New Roman" w:hAnsi="Times New Roman" w:cs="Times New Roman"/>
          <w:sz w:val="24"/>
          <w:szCs w:val="24"/>
        </w:rPr>
        <w:t>desired</w:t>
      </w:r>
      <w:r w:rsidR="00AB49FA">
        <w:rPr>
          <w:rFonts w:ascii="Times New Roman" w:hAnsi="Times New Roman" w:cs="Times New Roman"/>
          <w:sz w:val="24"/>
          <w:szCs w:val="24"/>
        </w:rPr>
        <w:t xml:space="preserve"> defoliation level was reached. Becau</w:t>
      </w:r>
      <w:r w:rsidR="00456069">
        <w:rPr>
          <w:rFonts w:ascii="Times New Roman" w:hAnsi="Times New Roman" w:cs="Times New Roman"/>
          <w:sz w:val="24"/>
          <w:szCs w:val="24"/>
        </w:rPr>
        <w:t xml:space="preserve">se the largest stems at our site are </w:t>
      </w:r>
      <w:r w:rsidR="00866A5F">
        <w:rPr>
          <w:rFonts w:ascii="Times New Roman" w:hAnsi="Times New Roman" w:cs="Times New Roman"/>
          <w:sz w:val="24"/>
          <w:szCs w:val="24"/>
        </w:rPr>
        <w:t>generally</w:t>
      </w:r>
      <w:r w:rsidR="00456069">
        <w:rPr>
          <w:rFonts w:ascii="Times New Roman" w:hAnsi="Times New Roman" w:cs="Times New Roman"/>
          <w:sz w:val="24"/>
          <w:szCs w:val="24"/>
        </w:rPr>
        <w:t xml:space="preserve"> the early successional aspen and birch trees and the smallest are mid- to late-successional species suppressed in the understory, contrasting treatment</w:t>
      </w:r>
      <w:r w:rsidR="00866A5F">
        <w:rPr>
          <w:rFonts w:ascii="Times New Roman" w:hAnsi="Times New Roman" w:cs="Times New Roman"/>
          <w:sz w:val="24"/>
          <w:szCs w:val="24"/>
        </w:rPr>
        <w:t>s</w:t>
      </w:r>
      <w:r w:rsidR="00456069">
        <w:rPr>
          <w:rFonts w:ascii="Times New Roman" w:hAnsi="Times New Roman" w:cs="Times New Roman"/>
          <w:sz w:val="24"/>
          <w:szCs w:val="24"/>
        </w:rPr>
        <w:t xml:space="preserve"> allowed for </w:t>
      </w:r>
      <w:r w:rsidR="00866A5F">
        <w:rPr>
          <w:rFonts w:ascii="Times New Roman" w:hAnsi="Times New Roman" w:cs="Times New Roman"/>
          <w:sz w:val="24"/>
          <w:szCs w:val="24"/>
        </w:rPr>
        <w:t>differentiation of disturbance impacts across distinct plant functional types.</w:t>
      </w:r>
    </w:p>
    <w:p w14:paraId="3A70944A" w14:textId="5F7D74BF" w:rsidR="002555F6" w:rsidRDefault="00F67E1C" w:rsidP="00F449B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Factorial combinations of disturbance severity and type were applied across four </w:t>
      </w:r>
      <w:r w:rsidR="009D6B22">
        <w:rPr>
          <w:rFonts w:ascii="Times New Roman" w:hAnsi="Times New Roman" w:cs="Times New Roman"/>
          <w:sz w:val="24"/>
          <w:szCs w:val="24"/>
        </w:rPr>
        <w:t>experimental replicates (Fig. 1 A), each consisting of four 0.5 ha circular plots divided into</w:t>
      </w:r>
      <w:r w:rsidR="00A0361A">
        <w:rPr>
          <w:rFonts w:ascii="Times New Roman" w:hAnsi="Times New Roman" w:cs="Times New Roman"/>
          <w:sz w:val="24"/>
          <w:szCs w:val="24"/>
        </w:rPr>
        <w:t xml:space="preserve"> 0.25 ha</w:t>
      </w:r>
      <w:r w:rsidR="009D6B22">
        <w:rPr>
          <w:rFonts w:ascii="Times New Roman" w:hAnsi="Times New Roman" w:cs="Times New Roman"/>
          <w:sz w:val="24"/>
          <w:szCs w:val="24"/>
        </w:rPr>
        <w:t xml:space="preserve"> halves</w:t>
      </w:r>
      <w:r w:rsidR="00A0361A">
        <w:rPr>
          <w:rFonts w:ascii="Times New Roman" w:hAnsi="Times New Roman" w:cs="Times New Roman"/>
          <w:sz w:val="24"/>
          <w:szCs w:val="24"/>
        </w:rPr>
        <w:t xml:space="preserve"> where treatments were assigned (Fig. 1 B).</w:t>
      </w:r>
      <w:r w:rsidR="009D6B22">
        <w:rPr>
          <w:rFonts w:ascii="Times New Roman" w:hAnsi="Times New Roman" w:cs="Times New Roman"/>
          <w:sz w:val="24"/>
          <w:szCs w:val="24"/>
        </w:rPr>
        <w:t xml:space="preserve"> </w:t>
      </w:r>
      <w:r w:rsidR="00A0361A">
        <w:rPr>
          <w:rFonts w:ascii="Times New Roman" w:hAnsi="Times New Roman" w:cs="Times New Roman"/>
          <w:sz w:val="24"/>
          <w:szCs w:val="24"/>
        </w:rPr>
        <w:t xml:space="preserve">Each experimental replicate is located on a distinct “landscape ecosystem” type according to a site-specific classification system developed at UMBS, characterized by distinct soil properties, vegetation communities, and microclimatic differences (Pearsall et al. 1995). </w:t>
      </w:r>
      <w:r w:rsidR="00F66B0A">
        <w:rPr>
          <w:rFonts w:ascii="Times New Roman" w:hAnsi="Times New Roman" w:cs="Times New Roman"/>
          <w:sz w:val="24"/>
          <w:szCs w:val="24"/>
        </w:rPr>
        <w:t xml:space="preserve">Prior to disturbance, substantial differences in site productivity and forest canopy structure across UMBS were well documented (REF: Hardiman et al. 2011, </w:t>
      </w:r>
      <w:r w:rsidR="00F66B0A">
        <w:rPr>
          <w:rFonts w:ascii="Times New Roman" w:hAnsi="Times New Roman" w:cs="Times New Roman"/>
          <w:sz w:val="24"/>
          <w:szCs w:val="24"/>
        </w:rPr>
        <w:lastRenderedPageBreak/>
        <w:t xml:space="preserve">Scheuermann et al. 2018), with the potential to inform post-disturbance trajectories of C cycling in </w:t>
      </w:r>
      <w:proofErr w:type="spellStart"/>
      <w:r w:rsidR="00F66B0A">
        <w:rPr>
          <w:rFonts w:ascii="Times New Roman" w:hAnsi="Times New Roman" w:cs="Times New Roman"/>
          <w:sz w:val="24"/>
          <w:szCs w:val="24"/>
        </w:rPr>
        <w:t>FoRTE</w:t>
      </w:r>
      <w:proofErr w:type="spellEnd"/>
      <w:r w:rsidR="00F66B0A">
        <w:rPr>
          <w:rFonts w:ascii="Times New Roman" w:hAnsi="Times New Roman" w:cs="Times New Roman"/>
          <w:sz w:val="24"/>
          <w:szCs w:val="24"/>
        </w:rPr>
        <w:t>.</w:t>
      </w:r>
    </w:p>
    <w:p w14:paraId="1B818B33" w14:textId="510B0D13" w:rsidR="00FE1974" w:rsidRDefault="00FE1974" w:rsidP="00175621">
      <w:pPr>
        <w:spacing w:line="480" w:lineRule="auto"/>
        <w:ind w:firstLine="720"/>
        <w:rPr>
          <w:rFonts w:ascii="Times New Roman" w:hAnsi="Times New Roman" w:cs="Times New Roman"/>
          <w:sz w:val="24"/>
          <w:szCs w:val="24"/>
        </w:rPr>
      </w:pPr>
      <w:r>
        <w:rPr>
          <w:rFonts w:ascii="Times New Roman" w:hAnsi="Times New Roman" w:cs="Times New Roman"/>
          <w:sz w:val="24"/>
          <w:szCs w:val="24"/>
        </w:rPr>
        <w:t>Baseline data collection</w:t>
      </w:r>
      <w:r w:rsidR="00A52F2C">
        <w:rPr>
          <w:rFonts w:ascii="Times New Roman" w:hAnsi="Times New Roman" w:cs="Times New Roman"/>
          <w:sz w:val="24"/>
          <w:szCs w:val="24"/>
        </w:rPr>
        <w:t>,</w:t>
      </w:r>
      <w:r>
        <w:rPr>
          <w:rFonts w:ascii="Times New Roman" w:hAnsi="Times New Roman" w:cs="Times New Roman"/>
          <w:sz w:val="24"/>
          <w:szCs w:val="24"/>
        </w:rPr>
        <w:t xml:space="preserve"> including</w:t>
      </w:r>
      <w:r w:rsidR="00A52F2C">
        <w:rPr>
          <w:rFonts w:ascii="Times New Roman" w:hAnsi="Times New Roman" w:cs="Times New Roman"/>
          <w:sz w:val="24"/>
          <w:szCs w:val="24"/>
        </w:rPr>
        <w:t xml:space="preserve"> tree inventory</w:t>
      </w:r>
      <w:r>
        <w:rPr>
          <w:rFonts w:ascii="Times New Roman" w:hAnsi="Times New Roman" w:cs="Times New Roman"/>
          <w:sz w:val="24"/>
          <w:szCs w:val="24"/>
        </w:rPr>
        <w:t xml:space="preserve">, assessment of </w:t>
      </w:r>
      <w:r w:rsidR="00A52F2C">
        <w:rPr>
          <w:rFonts w:ascii="Times New Roman" w:hAnsi="Times New Roman" w:cs="Times New Roman"/>
          <w:sz w:val="24"/>
          <w:szCs w:val="24"/>
        </w:rPr>
        <w:t>forest</w:t>
      </w:r>
      <w:r>
        <w:rPr>
          <w:rFonts w:ascii="Times New Roman" w:hAnsi="Times New Roman" w:cs="Times New Roman"/>
          <w:sz w:val="24"/>
          <w:szCs w:val="24"/>
        </w:rPr>
        <w:t xml:space="preserve"> structure, and above- and belowground carbon flux measurements, began in summer 2018 prior to experimental disturbance initiation</w:t>
      </w:r>
      <w:r w:rsidR="00A0361A">
        <w:rPr>
          <w:rFonts w:ascii="Times New Roman" w:hAnsi="Times New Roman" w:cs="Times New Roman"/>
          <w:sz w:val="24"/>
          <w:szCs w:val="24"/>
        </w:rPr>
        <w:t xml:space="preserve"> within each of the 32, 0.1 ha. experimental subplots (Fig. 1 B)</w:t>
      </w:r>
      <w:r>
        <w:rPr>
          <w:rFonts w:ascii="Times New Roman" w:hAnsi="Times New Roman" w:cs="Times New Roman"/>
          <w:sz w:val="24"/>
          <w:szCs w:val="24"/>
        </w:rPr>
        <w:t>.</w:t>
      </w:r>
      <w:r w:rsidR="003D0D21">
        <w:rPr>
          <w:rFonts w:ascii="Times New Roman" w:hAnsi="Times New Roman" w:cs="Times New Roman"/>
          <w:sz w:val="24"/>
          <w:szCs w:val="24"/>
        </w:rPr>
        <w:t xml:space="preserve"> </w:t>
      </w:r>
      <w:r w:rsidR="009E5EFD">
        <w:rPr>
          <w:rFonts w:ascii="Times New Roman" w:hAnsi="Times New Roman" w:cs="Times New Roman"/>
          <w:sz w:val="24"/>
          <w:szCs w:val="24"/>
        </w:rPr>
        <w:t>Tree inventory entailed tagging, species identification, stem diameter measurement, and mapping of all stems ≥ 8 cm diameter at breast heigh</w:t>
      </w:r>
      <w:r w:rsidR="003664BB">
        <w:rPr>
          <w:rFonts w:ascii="Times New Roman" w:hAnsi="Times New Roman" w:cs="Times New Roman"/>
          <w:sz w:val="24"/>
          <w:szCs w:val="24"/>
        </w:rPr>
        <w:t>t</w:t>
      </w:r>
      <w:r w:rsidR="009E5EFD">
        <w:rPr>
          <w:rFonts w:ascii="Times New Roman" w:hAnsi="Times New Roman" w:cs="Times New Roman"/>
          <w:sz w:val="24"/>
          <w:szCs w:val="24"/>
        </w:rPr>
        <w:t xml:space="preserve"> (DBH)</w:t>
      </w:r>
      <w:r w:rsidR="003D0D21">
        <w:rPr>
          <w:rFonts w:ascii="Times New Roman" w:hAnsi="Times New Roman" w:cs="Times New Roman"/>
          <w:sz w:val="24"/>
          <w:szCs w:val="24"/>
        </w:rPr>
        <w:t xml:space="preserve"> </w:t>
      </w:r>
      <w:r w:rsidR="009E5EFD">
        <w:rPr>
          <w:rFonts w:ascii="Times New Roman" w:hAnsi="Times New Roman" w:cs="Times New Roman"/>
          <w:sz w:val="24"/>
          <w:szCs w:val="24"/>
        </w:rPr>
        <w:t xml:space="preserve">using a </w:t>
      </w:r>
      <w:r w:rsidR="003664BB">
        <w:rPr>
          <w:rFonts w:ascii="Times New Roman" w:hAnsi="Times New Roman" w:cs="Times New Roman"/>
          <w:sz w:val="24"/>
          <w:szCs w:val="24"/>
        </w:rPr>
        <w:t xml:space="preserve">laser-outfitted </w:t>
      </w:r>
      <w:r w:rsidR="009E5EFD">
        <w:rPr>
          <w:rFonts w:ascii="Times New Roman" w:hAnsi="Times New Roman" w:cs="Times New Roman"/>
          <w:sz w:val="24"/>
          <w:szCs w:val="24"/>
        </w:rPr>
        <w:t>digital caliper</w:t>
      </w:r>
      <w:r w:rsidR="003664BB">
        <w:rPr>
          <w:rFonts w:ascii="Times New Roman" w:hAnsi="Times New Roman" w:cs="Times New Roman"/>
          <w:sz w:val="24"/>
          <w:szCs w:val="24"/>
        </w:rPr>
        <w:t xml:space="preserve"> and GPS transponder array (</w:t>
      </w:r>
      <w:proofErr w:type="spellStart"/>
      <w:r w:rsidR="003664BB">
        <w:rPr>
          <w:rFonts w:ascii="Times New Roman" w:hAnsi="Times New Roman" w:cs="Times New Roman"/>
          <w:sz w:val="24"/>
          <w:szCs w:val="24"/>
        </w:rPr>
        <w:t>Haglöf</w:t>
      </w:r>
      <w:proofErr w:type="spellEnd"/>
      <w:r w:rsidR="003664BB">
        <w:rPr>
          <w:rFonts w:ascii="Times New Roman" w:hAnsi="Times New Roman" w:cs="Times New Roman"/>
          <w:sz w:val="24"/>
          <w:szCs w:val="24"/>
        </w:rPr>
        <w:t xml:space="preserve"> Inc., Madison, Mississippi, USA).</w:t>
      </w:r>
      <w:r>
        <w:rPr>
          <w:rFonts w:ascii="Times New Roman" w:hAnsi="Times New Roman" w:cs="Times New Roman"/>
          <w:sz w:val="24"/>
          <w:szCs w:val="24"/>
        </w:rPr>
        <w:t xml:space="preserve"> </w:t>
      </w:r>
      <w:r w:rsidR="007E0E86">
        <w:rPr>
          <w:rFonts w:ascii="Times New Roman" w:hAnsi="Times New Roman" w:cs="Times New Roman"/>
          <w:sz w:val="24"/>
          <w:szCs w:val="24"/>
        </w:rPr>
        <w:t>Before</w:t>
      </w:r>
      <w:r>
        <w:rPr>
          <w:rFonts w:ascii="Times New Roman" w:hAnsi="Times New Roman" w:cs="Times New Roman"/>
          <w:sz w:val="24"/>
          <w:szCs w:val="24"/>
        </w:rPr>
        <w:t xml:space="preserve"> leaf out </w:t>
      </w:r>
      <w:r w:rsidR="007E0E86">
        <w:rPr>
          <w:rFonts w:ascii="Times New Roman" w:hAnsi="Times New Roman" w:cs="Times New Roman"/>
          <w:sz w:val="24"/>
          <w:szCs w:val="24"/>
        </w:rPr>
        <w:t>the following spring (</w:t>
      </w:r>
      <w:r>
        <w:rPr>
          <w:rFonts w:ascii="Times New Roman" w:hAnsi="Times New Roman" w:cs="Times New Roman"/>
          <w:sz w:val="24"/>
          <w:szCs w:val="24"/>
        </w:rPr>
        <w:t>May 2019</w:t>
      </w:r>
      <w:r w:rsidR="007E0E86">
        <w:rPr>
          <w:rFonts w:ascii="Times New Roman" w:hAnsi="Times New Roman" w:cs="Times New Roman"/>
          <w:sz w:val="24"/>
          <w:szCs w:val="24"/>
        </w:rPr>
        <w:t>)</w:t>
      </w:r>
      <w:r>
        <w:rPr>
          <w:rFonts w:ascii="Times New Roman" w:hAnsi="Times New Roman" w:cs="Times New Roman"/>
          <w:sz w:val="24"/>
          <w:szCs w:val="24"/>
        </w:rPr>
        <w:t xml:space="preserve">, we stem girdled ~3700 </w:t>
      </w:r>
      <w:r w:rsidR="00A52F2C">
        <w:rPr>
          <w:rFonts w:ascii="Times New Roman" w:hAnsi="Times New Roman" w:cs="Times New Roman"/>
          <w:sz w:val="24"/>
          <w:szCs w:val="24"/>
        </w:rPr>
        <w:t>trees</w:t>
      </w:r>
      <w:r w:rsidR="007E0E86">
        <w:rPr>
          <w:rFonts w:ascii="Times New Roman" w:hAnsi="Times New Roman" w:cs="Times New Roman"/>
          <w:sz w:val="24"/>
          <w:szCs w:val="24"/>
        </w:rPr>
        <w:t xml:space="preserve"> across</w:t>
      </w:r>
      <w:r w:rsidR="00DE5656">
        <w:rPr>
          <w:rFonts w:ascii="Times New Roman" w:hAnsi="Times New Roman" w:cs="Times New Roman"/>
          <w:sz w:val="24"/>
          <w:szCs w:val="24"/>
        </w:rPr>
        <w:t xml:space="preserve"> </w:t>
      </w:r>
      <w:r w:rsidR="000F17FE">
        <w:rPr>
          <w:rFonts w:ascii="Times New Roman" w:hAnsi="Times New Roman" w:cs="Times New Roman"/>
          <w:sz w:val="24"/>
          <w:szCs w:val="24"/>
        </w:rPr>
        <w:t>8</w:t>
      </w:r>
      <w:r w:rsidR="007E0E86">
        <w:rPr>
          <w:rFonts w:ascii="Times New Roman" w:hAnsi="Times New Roman" w:cs="Times New Roman"/>
          <w:sz w:val="24"/>
          <w:szCs w:val="24"/>
        </w:rPr>
        <w:t xml:space="preserve"> ha. of forest</w:t>
      </w:r>
      <w:r w:rsidR="00A52F2C">
        <w:rPr>
          <w:rFonts w:ascii="Times New Roman" w:hAnsi="Times New Roman" w:cs="Times New Roman"/>
          <w:sz w:val="24"/>
          <w:szCs w:val="24"/>
        </w:rPr>
        <w:t xml:space="preserve">. Stem girdling </w:t>
      </w:r>
      <w:r w:rsidR="00885A00">
        <w:rPr>
          <w:rFonts w:ascii="Times New Roman" w:hAnsi="Times New Roman" w:cs="Times New Roman"/>
          <w:sz w:val="24"/>
          <w:szCs w:val="24"/>
        </w:rPr>
        <w:t>involves cutting and removal of a ring of bark and phloem tissue from the tree stem at approximately 1 m above the ground, achieved via chain saw and pry bar.</w:t>
      </w:r>
      <w:r w:rsidR="003D0D21">
        <w:rPr>
          <w:rFonts w:ascii="Times New Roman" w:hAnsi="Times New Roman" w:cs="Times New Roman"/>
          <w:sz w:val="24"/>
          <w:szCs w:val="24"/>
        </w:rPr>
        <w:t xml:space="preserve"> Intended to simulate the effects of disturbance from wood-boring insects, stem girdling disrupts the transport of fixed carbon through the phloem, resulting </w:t>
      </w:r>
      <w:r w:rsidR="00885A00">
        <w:rPr>
          <w:rFonts w:ascii="Times New Roman" w:hAnsi="Times New Roman" w:cs="Times New Roman"/>
          <w:sz w:val="24"/>
          <w:szCs w:val="24"/>
        </w:rPr>
        <w:t xml:space="preserve">in carbon starvation to the roots </w:t>
      </w:r>
      <w:r w:rsidR="003D0D21">
        <w:rPr>
          <w:rFonts w:ascii="Times New Roman" w:hAnsi="Times New Roman" w:cs="Times New Roman"/>
          <w:sz w:val="24"/>
          <w:szCs w:val="24"/>
        </w:rPr>
        <w:t>and tree death</w:t>
      </w:r>
      <w:r w:rsidR="00885A00">
        <w:rPr>
          <w:rFonts w:ascii="Times New Roman" w:hAnsi="Times New Roman" w:cs="Times New Roman"/>
          <w:sz w:val="24"/>
          <w:szCs w:val="24"/>
        </w:rPr>
        <w:t xml:space="preserve"> in 1 – 3 years following girdling</w:t>
      </w:r>
      <w:r w:rsidR="0078519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"/>
          <w:id w:val="-1913930397"/>
          <w:placeholder>
            <w:docPart w:val="DefaultPlaceholder_-1854013440"/>
          </w:placeholder>
        </w:sdtPr>
        <w:sdtEndPr/>
        <w:sdtContent>
          <w:r w:rsidR="0078519D" w:rsidRPr="0078519D">
            <w:rPr>
              <w:rFonts w:ascii="Times New Roman" w:hAnsi="Times New Roman" w:cs="Times New Roman"/>
              <w:color w:val="000000"/>
              <w:sz w:val="24"/>
              <w:szCs w:val="24"/>
            </w:rPr>
            <w:t>(Gough et al., 2013)</w:t>
          </w:r>
        </w:sdtContent>
      </w:sdt>
      <w:r w:rsidR="00885A00">
        <w:rPr>
          <w:rFonts w:ascii="Times New Roman" w:hAnsi="Times New Roman" w:cs="Times New Roman"/>
          <w:sz w:val="24"/>
          <w:szCs w:val="24"/>
        </w:rPr>
        <w:t>.</w:t>
      </w:r>
      <w:r w:rsidR="007E0E86">
        <w:rPr>
          <w:rFonts w:ascii="Times New Roman" w:hAnsi="Times New Roman" w:cs="Times New Roman"/>
          <w:sz w:val="24"/>
          <w:szCs w:val="24"/>
        </w:rPr>
        <w:t xml:space="preserve"> </w:t>
      </w:r>
    </w:p>
    <w:p w14:paraId="2DAF43D8" w14:textId="29745164" w:rsidR="00885A00" w:rsidRPr="00373FD3" w:rsidRDefault="00373FD3" w:rsidP="00420FB9">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2.2 </w:t>
      </w:r>
      <w:r w:rsidR="00DE4076">
        <w:rPr>
          <w:rFonts w:ascii="Times New Roman" w:hAnsi="Times New Roman" w:cs="Times New Roman"/>
          <w:i/>
          <w:iCs/>
          <w:sz w:val="24"/>
          <w:szCs w:val="24"/>
        </w:rPr>
        <w:t xml:space="preserve">Community weighted mean </w:t>
      </w:r>
      <w:r w:rsidR="00175621">
        <w:rPr>
          <w:rFonts w:ascii="Times New Roman" w:hAnsi="Times New Roman" w:cs="Times New Roman"/>
          <w:i/>
          <w:iCs/>
          <w:sz w:val="24"/>
          <w:szCs w:val="24"/>
        </w:rPr>
        <w:t>leaf</w:t>
      </w:r>
      <w:r w:rsidR="00885A00" w:rsidRPr="00373FD3">
        <w:rPr>
          <w:rFonts w:ascii="Times New Roman" w:hAnsi="Times New Roman" w:cs="Times New Roman"/>
          <w:i/>
          <w:iCs/>
          <w:sz w:val="24"/>
          <w:szCs w:val="24"/>
        </w:rPr>
        <w:t xml:space="preserve"> </w:t>
      </w:r>
      <w:r w:rsidR="00175621">
        <w:rPr>
          <w:rFonts w:ascii="Times New Roman" w:hAnsi="Times New Roman" w:cs="Times New Roman"/>
          <w:i/>
          <w:iCs/>
          <w:sz w:val="24"/>
          <w:szCs w:val="24"/>
        </w:rPr>
        <w:t>functional traits</w:t>
      </w:r>
      <w:r w:rsidR="00385AD4">
        <w:rPr>
          <w:rFonts w:ascii="Times New Roman" w:hAnsi="Times New Roman" w:cs="Times New Roman"/>
          <w:i/>
          <w:iCs/>
          <w:sz w:val="24"/>
          <w:szCs w:val="24"/>
        </w:rPr>
        <w:t xml:space="preserve"> </w:t>
      </w:r>
    </w:p>
    <w:p w14:paraId="6BD494C3" w14:textId="438CCC1D" w:rsidR="003B3803" w:rsidRDefault="00175621" w:rsidP="00385858">
      <w:pPr>
        <w:spacing w:line="480" w:lineRule="auto"/>
        <w:ind w:firstLine="720"/>
        <w:rPr>
          <w:rFonts w:ascii="Times New Roman" w:hAnsi="Times New Roman" w:cs="Times New Roman"/>
          <w:sz w:val="24"/>
          <w:szCs w:val="24"/>
        </w:rPr>
      </w:pPr>
      <w:r>
        <w:rPr>
          <w:rFonts w:ascii="Times New Roman" w:hAnsi="Times New Roman" w:cs="Times New Roman"/>
          <w:sz w:val="24"/>
          <w:szCs w:val="24"/>
        </w:rPr>
        <w:t>Physiological, morphological, and optical characteristics of subcanopy leaves were measured annually during the growing season</w:t>
      </w:r>
      <w:r w:rsidR="002E2072">
        <w:rPr>
          <w:rFonts w:ascii="Times New Roman" w:hAnsi="Times New Roman" w:cs="Times New Roman"/>
          <w:sz w:val="24"/>
          <w:szCs w:val="24"/>
        </w:rPr>
        <w:t xml:space="preserve"> in order to assess changes in leaf functional traits interannually across the disturbance severity gradient. </w:t>
      </w:r>
      <w:r w:rsidR="00D442F3">
        <w:rPr>
          <w:rFonts w:ascii="Times New Roman" w:hAnsi="Times New Roman" w:cs="Times New Roman"/>
          <w:sz w:val="24"/>
          <w:szCs w:val="24"/>
        </w:rPr>
        <w:t xml:space="preserve">To capture </w:t>
      </w:r>
      <w:r w:rsidR="00356472">
        <w:rPr>
          <w:rFonts w:ascii="Times New Roman" w:hAnsi="Times New Roman" w:cs="Times New Roman"/>
          <w:sz w:val="24"/>
          <w:szCs w:val="24"/>
        </w:rPr>
        <w:t xml:space="preserve">an extensive and representative sample of the </w:t>
      </w:r>
      <w:proofErr w:type="spellStart"/>
      <w:r w:rsidR="00356472">
        <w:rPr>
          <w:rFonts w:ascii="Times New Roman" w:hAnsi="Times New Roman" w:cs="Times New Roman"/>
          <w:sz w:val="24"/>
          <w:szCs w:val="24"/>
        </w:rPr>
        <w:t>FoRTE</w:t>
      </w:r>
      <w:proofErr w:type="spellEnd"/>
      <w:r w:rsidR="00356472">
        <w:rPr>
          <w:rFonts w:ascii="Times New Roman" w:hAnsi="Times New Roman" w:cs="Times New Roman"/>
          <w:sz w:val="24"/>
          <w:szCs w:val="24"/>
        </w:rPr>
        <w:t xml:space="preserve"> subcanopy, leaves were selected in a uniform way across all 32 experimental subplots. </w:t>
      </w:r>
      <w:r w:rsidR="00385858">
        <w:rPr>
          <w:rFonts w:ascii="Times New Roman" w:hAnsi="Times New Roman" w:cs="Times New Roman"/>
          <w:sz w:val="24"/>
          <w:szCs w:val="24"/>
        </w:rPr>
        <w:t>Three l</w:t>
      </w:r>
      <w:r w:rsidR="003B3803">
        <w:rPr>
          <w:rFonts w:ascii="Times New Roman" w:hAnsi="Times New Roman" w:cs="Times New Roman"/>
          <w:sz w:val="24"/>
          <w:szCs w:val="24"/>
        </w:rPr>
        <w:t>eaves</w:t>
      </w:r>
      <w:r w:rsidR="00DE4076">
        <w:rPr>
          <w:rFonts w:ascii="Times New Roman" w:hAnsi="Times New Roman" w:cs="Times New Roman"/>
          <w:sz w:val="24"/>
          <w:szCs w:val="24"/>
        </w:rPr>
        <w:t xml:space="preserve"> without obvious signs of damage by pathogens or herbivores</w:t>
      </w:r>
      <w:r w:rsidR="00385858">
        <w:rPr>
          <w:rFonts w:ascii="Times New Roman" w:hAnsi="Times New Roman" w:cs="Times New Roman"/>
          <w:sz w:val="24"/>
          <w:szCs w:val="24"/>
        </w:rPr>
        <w:t xml:space="preserve">, each from </w:t>
      </w:r>
      <w:r w:rsidR="00E71C5E">
        <w:rPr>
          <w:rFonts w:ascii="Times New Roman" w:hAnsi="Times New Roman" w:cs="Times New Roman"/>
          <w:sz w:val="24"/>
          <w:szCs w:val="24"/>
        </w:rPr>
        <w:t>unique woody</w:t>
      </w:r>
      <w:r w:rsidR="00385858">
        <w:rPr>
          <w:rFonts w:ascii="Times New Roman" w:hAnsi="Times New Roman" w:cs="Times New Roman"/>
          <w:sz w:val="24"/>
          <w:szCs w:val="24"/>
        </w:rPr>
        <w:t xml:space="preserve"> stems ≥ 1 cm DBH</w:t>
      </w:r>
      <w:r w:rsidR="00E71C5E">
        <w:rPr>
          <w:rFonts w:ascii="Times New Roman" w:hAnsi="Times New Roman" w:cs="Times New Roman"/>
          <w:sz w:val="24"/>
          <w:szCs w:val="24"/>
        </w:rPr>
        <w:t>,</w:t>
      </w:r>
      <w:r w:rsidR="003B3803">
        <w:rPr>
          <w:rFonts w:ascii="Times New Roman" w:hAnsi="Times New Roman" w:cs="Times New Roman"/>
          <w:sz w:val="24"/>
          <w:szCs w:val="24"/>
        </w:rPr>
        <w:t xml:space="preserve"> were chosen at 1 m height above ground within four established vegetation survey plots in each subplot</w:t>
      </w:r>
      <w:r w:rsidR="001F4F80">
        <w:rPr>
          <w:rFonts w:ascii="Times New Roman" w:hAnsi="Times New Roman" w:cs="Times New Roman"/>
          <w:sz w:val="24"/>
          <w:szCs w:val="24"/>
        </w:rPr>
        <w:t xml:space="preserve"> (inset Fig. 1 B)</w:t>
      </w:r>
      <w:r w:rsidR="00E71C5E">
        <w:rPr>
          <w:rFonts w:ascii="Times New Roman" w:hAnsi="Times New Roman" w:cs="Times New Roman"/>
          <w:sz w:val="24"/>
          <w:szCs w:val="24"/>
        </w:rPr>
        <w:t xml:space="preserve"> for a total of 12 leaves per subplot</w:t>
      </w:r>
      <w:r w:rsidR="003B3803">
        <w:rPr>
          <w:rFonts w:ascii="Times New Roman" w:hAnsi="Times New Roman" w:cs="Times New Roman"/>
          <w:sz w:val="24"/>
          <w:szCs w:val="24"/>
        </w:rPr>
        <w:t xml:space="preserve">. Where leaves at 1 m were not present, the nearest stem outside the </w:t>
      </w:r>
      <w:r w:rsidR="003B3803">
        <w:rPr>
          <w:rFonts w:ascii="Times New Roman" w:hAnsi="Times New Roman" w:cs="Times New Roman"/>
          <w:sz w:val="24"/>
          <w:szCs w:val="24"/>
        </w:rPr>
        <w:lastRenderedPageBreak/>
        <w:t>survey plot with a leaf at the targeted height was selected. Stems were tagged and the terminal branch from which the leaf was sampled was flagged for repeat measurements in subsequent years. In a fraction of cases</w:t>
      </w:r>
      <w:r w:rsidR="00E7001D">
        <w:rPr>
          <w:rFonts w:ascii="Times New Roman" w:hAnsi="Times New Roman" w:cs="Times New Roman"/>
          <w:sz w:val="24"/>
          <w:szCs w:val="24"/>
        </w:rPr>
        <w:t xml:space="preserve"> (39 of 433 </w:t>
      </w:r>
      <w:r w:rsidR="007F052E">
        <w:rPr>
          <w:rFonts w:ascii="Times New Roman" w:hAnsi="Times New Roman" w:cs="Times New Roman"/>
          <w:sz w:val="24"/>
          <w:szCs w:val="24"/>
        </w:rPr>
        <w:t>unique stems sampled over four years</w:t>
      </w:r>
      <w:r w:rsidR="00E7001D">
        <w:rPr>
          <w:rFonts w:ascii="Times New Roman" w:hAnsi="Times New Roman" w:cs="Times New Roman"/>
          <w:sz w:val="24"/>
          <w:szCs w:val="24"/>
        </w:rPr>
        <w:t>, or 9 %),</w:t>
      </w:r>
      <w:r w:rsidR="003B3803">
        <w:rPr>
          <w:rFonts w:ascii="Times New Roman" w:hAnsi="Times New Roman" w:cs="Times New Roman"/>
          <w:sz w:val="24"/>
          <w:szCs w:val="24"/>
        </w:rPr>
        <w:t xml:space="preserve"> stems died and were replaced with new trees the following year. </w:t>
      </w:r>
      <w:r w:rsidR="00385AD4">
        <w:rPr>
          <w:rFonts w:ascii="Times New Roman" w:hAnsi="Times New Roman" w:cs="Times New Roman"/>
          <w:sz w:val="24"/>
          <w:szCs w:val="24"/>
        </w:rPr>
        <w:t xml:space="preserve">Because </w:t>
      </w:r>
      <w:r w:rsidR="0017789E">
        <w:rPr>
          <w:rFonts w:ascii="Times New Roman" w:hAnsi="Times New Roman" w:cs="Times New Roman"/>
          <w:sz w:val="24"/>
          <w:szCs w:val="24"/>
        </w:rPr>
        <w:t>leaves</w:t>
      </w:r>
      <w:r w:rsidR="00385AD4">
        <w:rPr>
          <w:rFonts w:ascii="Times New Roman" w:hAnsi="Times New Roman" w:cs="Times New Roman"/>
          <w:sz w:val="24"/>
          <w:szCs w:val="24"/>
        </w:rPr>
        <w:t xml:space="preserve"> were selected for sampling in a uniform way throughout the 32 </w:t>
      </w:r>
      <w:proofErr w:type="spellStart"/>
      <w:r w:rsidR="00385AD4">
        <w:rPr>
          <w:rFonts w:ascii="Times New Roman" w:hAnsi="Times New Roman" w:cs="Times New Roman"/>
          <w:sz w:val="24"/>
          <w:szCs w:val="24"/>
        </w:rPr>
        <w:t>FoRTE</w:t>
      </w:r>
      <w:proofErr w:type="spellEnd"/>
      <w:r w:rsidR="00385AD4">
        <w:rPr>
          <w:rFonts w:ascii="Times New Roman" w:hAnsi="Times New Roman" w:cs="Times New Roman"/>
          <w:sz w:val="24"/>
          <w:szCs w:val="24"/>
        </w:rPr>
        <w:t xml:space="preserve"> subplots, </w:t>
      </w:r>
      <w:r w:rsidR="00E7001D">
        <w:rPr>
          <w:rFonts w:ascii="Times New Roman" w:hAnsi="Times New Roman" w:cs="Times New Roman"/>
          <w:sz w:val="24"/>
          <w:szCs w:val="24"/>
        </w:rPr>
        <w:t>as a function of</w:t>
      </w:r>
      <w:r w:rsidR="00385AD4">
        <w:rPr>
          <w:rFonts w:ascii="Times New Roman" w:hAnsi="Times New Roman" w:cs="Times New Roman"/>
          <w:sz w:val="24"/>
          <w:szCs w:val="24"/>
        </w:rPr>
        <w:t xml:space="preserve"> which </w:t>
      </w:r>
      <w:r w:rsidR="0017789E">
        <w:rPr>
          <w:rFonts w:ascii="Times New Roman" w:hAnsi="Times New Roman" w:cs="Times New Roman"/>
          <w:sz w:val="24"/>
          <w:szCs w:val="24"/>
        </w:rPr>
        <w:t>trees</w:t>
      </w:r>
      <w:r w:rsidR="00385AD4">
        <w:rPr>
          <w:rFonts w:ascii="Times New Roman" w:hAnsi="Times New Roman" w:cs="Times New Roman"/>
          <w:sz w:val="24"/>
          <w:szCs w:val="24"/>
        </w:rPr>
        <w:t xml:space="preserve"> were present in targeted areas and regardless of species, we refer to the mean values for leaf functional traits obtained in each subplot as </w:t>
      </w:r>
      <w:r w:rsidR="00E7001D">
        <w:rPr>
          <w:rFonts w:ascii="Times New Roman" w:hAnsi="Times New Roman" w:cs="Times New Roman"/>
          <w:sz w:val="24"/>
          <w:szCs w:val="24"/>
        </w:rPr>
        <w:t>“</w:t>
      </w:r>
      <w:r w:rsidR="00385AD4">
        <w:rPr>
          <w:rFonts w:ascii="Times New Roman" w:hAnsi="Times New Roman" w:cs="Times New Roman"/>
          <w:sz w:val="24"/>
          <w:szCs w:val="24"/>
        </w:rPr>
        <w:t>community-weighted means</w:t>
      </w:r>
      <w:r w:rsidR="00E7001D">
        <w:rPr>
          <w:rFonts w:ascii="Times New Roman" w:hAnsi="Times New Roman" w:cs="Times New Roman"/>
          <w:sz w:val="24"/>
          <w:szCs w:val="24"/>
        </w:rPr>
        <w:t>”</w:t>
      </w:r>
      <w:r w:rsidR="00385AD4">
        <w:rPr>
          <w:rFonts w:ascii="Times New Roman" w:hAnsi="Times New Roman" w:cs="Times New Roman"/>
          <w:sz w:val="24"/>
          <w:szCs w:val="24"/>
        </w:rPr>
        <w:t xml:space="preserve"> (REF; probably Garnier et al 2004). To </w:t>
      </w:r>
      <w:r w:rsidR="0017789E">
        <w:rPr>
          <w:rFonts w:ascii="Times New Roman" w:hAnsi="Times New Roman" w:cs="Times New Roman"/>
          <w:sz w:val="24"/>
          <w:szCs w:val="24"/>
        </w:rPr>
        <w:t>confirm</w:t>
      </w:r>
      <w:r w:rsidR="00385AD4">
        <w:rPr>
          <w:rFonts w:ascii="Times New Roman" w:hAnsi="Times New Roman" w:cs="Times New Roman"/>
          <w:sz w:val="24"/>
          <w:szCs w:val="24"/>
        </w:rPr>
        <w:t xml:space="preserve"> that our samples were representative of community composition within each subplot, we compared</w:t>
      </w:r>
      <w:r w:rsidR="0017789E">
        <w:rPr>
          <w:rFonts w:ascii="Times New Roman" w:hAnsi="Times New Roman" w:cs="Times New Roman"/>
          <w:sz w:val="24"/>
          <w:szCs w:val="24"/>
        </w:rPr>
        <w:t xml:space="preserve"> species abundances from this sampling effort to an independent subcanopy stem survey conducted within </w:t>
      </w:r>
      <w:proofErr w:type="spellStart"/>
      <w:r w:rsidR="0017789E">
        <w:rPr>
          <w:rFonts w:ascii="Times New Roman" w:hAnsi="Times New Roman" w:cs="Times New Roman"/>
          <w:sz w:val="24"/>
          <w:szCs w:val="24"/>
        </w:rPr>
        <w:t>FoRTE</w:t>
      </w:r>
      <w:proofErr w:type="spellEnd"/>
      <w:r w:rsidR="0017789E">
        <w:rPr>
          <w:rFonts w:ascii="Times New Roman" w:hAnsi="Times New Roman" w:cs="Times New Roman"/>
          <w:sz w:val="24"/>
          <w:szCs w:val="24"/>
        </w:rPr>
        <w:t xml:space="preserve"> subplots and published in Grigri et al. 2020</w:t>
      </w:r>
      <w:r w:rsidR="00D73E9A">
        <w:rPr>
          <w:rFonts w:ascii="Times New Roman" w:hAnsi="Times New Roman" w:cs="Times New Roman"/>
          <w:sz w:val="24"/>
          <w:szCs w:val="24"/>
        </w:rPr>
        <w:t>.</w:t>
      </w:r>
      <w:r w:rsidR="00C70305">
        <w:rPr>
          <w:rFonts w:ascii="Times New Roman" w:hAnsi="Times New Roman" w:cs="Times New Roman"/>
          <w:sz w:val="24"/>
          <w:szCs w:val="24"/>
        </w:rPr>
        <w:t xml:space="preserve"> Rankings of tree species by abundance within replicates were consistent in both surveys.</w:t>
      </w:r>
    </w:p>
    <w:p w14:paraId="78D5A3E2" w14:textId="2B8FBA30" w:rsidR="00885A00" w:rsidRDefault="002E2072" w:rsidP="00D442F3">
      <w:pPr>
        <w:spacing w:line="480" w:lineRule="auto"/>
        <w:ind w:firstLine="720"/>
        <w:rPr>
          <w:rFonts w:ascii="Times New Roman" w:hAnsi="Times New Roman" w:cs="Times New Roman"/>
          <w:sz w:val="24"/>
          <w:szCs w:val="24"/>
        </w:rPr>
      </w:pPr>
      <w:r>
        <w:rPr>
          <w:rFonts w:ascii="Times New Roman" w:hAnsi="Times New Roman" w:cs="Times New Roman"/>
          <w:sz w:val="24"/>
          <w:szCs w:val="24"/>
        </w:rPr>
        <w:t>Leaf-level physiological variables, the light-saturated rate of photosynthesis (</w:t>
      </w:r>
      <w:proofErr w:type="spellStart"/>
      <w:r>
        <w:rPr>
          <w:rFonts w:ascii="Times New Roman" w:hAnsi="Times New Roman" w:cs="Times New Roman"/>
          <w:sz w:val="24"/>
          <w:szCs w:val="24"/>
        </w:rPr>
        <w:t>A</w:t>
      </w:r>
      <w:r w:rsidRPr="002E2072">
        <w:rPr>
          <w:rFonts w:ascii="Times New Roman" w:hAnsi="Times New Roman" w:cs="Times New Roman"/>
          <w:sz w:val="24"/>
          <w:szCs w:val="24"/>
          <w:vertAlign w:val="subscript"/>
        </w:rPr>
        <w:t>sat</w:t>
      </w:r>
      <w:proofErr w:type="spellEnd"/>
      <w:r>
        <w:rPr>
          <w:rFonts w:ascii="Times New Roman" w:hAnsi="Times New Roman" w:cs="Times New Roman"/>
          <w:sz w:val="24"/>
          <w:szCs w:val="24"/>
        </w:rPr>
        <w:t>) and stomatal conductance (</w:t>
      </w:r>
      <w:proofErr w:type="spellStart"/>
      <w:r>
        <w:rPr>
          <w:rFonts w:ascii="Times New Roman" w:hAnsi="Times New Roman" w:cs="Times New Roman"/>
          <w:sz w:val="24"/>
          <w:szCs w:val="24"/>
        </w:rPr>
        <w:t>g</w:t>
      </w:r>
      <w:r w:rsidRPr="002E2072">
        <w:rPr>
          <w:rFonts w:ascii="Times New Roman" w:hAnsi="Times New Roman" w:cs="Times New Roman"/>
          <w:sz w:val="24"/>
          <w:szCs w:val="24"/>
          <w:vertAlign w:val="subscript"/>
        </w:rPr>
        <w:t>s</w:t>
      </w:r>
      <w:proofErr w:type="spellEnd"/>
      <w:r>
        <w:rPr>
          <w:rFonts w:ascii="Times New Roman" w:hAnsi="Times New Roman" w:cs="Times New Roman"/>
          <w:sz w:val="24"/>
          <w:szCs w:val="24"/>
        </w:rPr>
        <w:t xml:space="preserve">), were measured using a LI-6400 XT portable </w:t>
      </w:r>
      <w:r w:rsidR="008439A0">
        <w:rPr>
          <w:rFonts w:ascii="Times New Roman" w:hAnsi="Times New Roman" w:cs="Times New Roman"/>
          <w:sz w:val="24"/>
          <w:szCs w:val="24"/>
        </w:rPr>
        <w:t>photosynthesis system (LI-COR</w:t>
      </w:r>
      <w:r w:rsidR="004548B0">
        <w:rPr>
          <w:rFonts w:ascii="Times New Roman" w:hAnsi="Times New Roman" w:cs="Times New Roman"/>
          <w:sz w:val="24"/>
          <w:szCs w:val="24"/>
        </w:rPr>
        <w:t xml:space="preserve"> Biosciences</w:t>
      </w:r>
      <w:r w:rsidR="008439A0">
        <w:rPr>
          <w:rFonts w:ascii="Times New Roman" w:hAnsi="Times New Roman" w:cs="Times New Roman"/>
          <w:sz w:val="24"/>
          <w:szCs w:val="24"/>
        </w:rPr>
        <w:t xml:space="preserve"> Inc., Lincoln, Nebraska, USA) with internal chamber settings </w:t>
      </w:r>
      <w:r w:rsidR="006B1CA2">
        <w:rPr>
          <w:rFonts w:ascii="Times New Roman" w:hAnsi="Times New Roman" w:cs="Times New Roman"/>
          <w:sz w:val="24"/>
          <w:szCs w:val="24"/>
        </w:rPr>
        <w:t>of</w:t>
      </w:r>
      <w:r w:rsidR="008439A0">
        <w:rPr>
          <w:rFonts w:ascii="Times New Roman" w:hAnsi="Times New Roman" w:cs="Times New Roman"/>
          <w:sz w:val="24"/>
          <w:szCs w:val="24"/>
        </w:rPr>
        <w:t xml:space="preserve"> 25 °C</w:t>
      </w:r>
      <w:r w:rsidR="00A43F1E">
        <w:rPr>
          <w:rFonts w:ascii="Times New Roman" w:hAnsi="Times New Roman" w:cs="Times New Roman"/>
          <w:sz w:val="24"/>
          <w:szCs w:val="24"/>
        </w:rPr>
        <w:t xml:space="preserve"> block temperature</w:t>
      </w:r>
      <w:r w:rsidR="008439A0">
        <w:rPr>
          <w:rFonts w:ascii="Times New Roman" w:hAnsi="Times New Roman" w:cs="Times New Roman"/>
          <w:sz w:val="24"/>
          <w:szCs w:val="24"/>
        </w:rPr>
        <w:t>, 2000 µmol</w:t>
      </w:r>
      <w:r w:rsidR="00A43F1E">
        <w:rPr>
          <w:rFonts w:ascii="Times New Roman" w:hAnsi="Times New Roman" w:cs="Times New Roman"/>
          <w:sz w:val="24"/>
          <w:szCs w:val="24"/>
        </w:rPr>
        <w:t xml:space="preserve"> m</w:t>
      </w:r>
      <w:r w:rsidR="00A43F1E" w:rsidRPr="00A43F1E">
        <w:rPr>
          <w:rFonts w:ascii="Times New Roman" w:hAnsi="Times New Roman" w:cs="Times New Roman"/>
          <w:sz w:val="24"/>
          <w:szCs w:val="24"/>
          <w:vertAlign w:val="superscript"/>
        </w:rPr>
        <w:t>-2</w:t>
      </w:r>
      <w:r w:rsidR="00A43F1E">
        <w:rPr>
          <w:rFonts w:ascii="Times New Roman" w:hAnsi="Times New Roman" w:cs="Times New Roman"/>
          <w:sz w:val="24"/>
          <w:szCs w:val="24"/>
        </w:rPr>
        <w:t xml:space="preserve"> s</w:t>
      </w:r>
      <w:r w:rsidR="00A43F1E" w:rsidRPr="00A43F1E">
        <w:rPr>
          <w:rFonts w:ascii="Times New Roman" w:hAnsi="Times New Roman" w:cs="Times New Roman"/>
          <w:sz w:val="24"/>
          <w:szCs w:val="24"/>
          <w:vertAlign w:val="superscript"/>
        </w:rPr>
        <w:t>-1</w:t>
      </w:r>
      <w:r w:rsidR="00A43F1E">
        <w:rPr>
          <w:rFonts w:ascii="Times New Roman" w:hAnsi="Times New Roman" w:cs="Times New Roman"/>
          <w:sz w:val="24"/>
          <w:szCs w:val="24"/>
        </w:rPr>
        <w:t xml:space="preserve"> photosynthetically active radiation (PAR), 400 ppm</w:t>
      </w:r>
      <w:r w:rsidR="008439A0">
        <w:rPr>
          <w:rFonts w:ascii="Times New Roman" w:hAnsi="Times New Roman" w:cs="Times New Roman"/>
          <w:sz w:val="24"/>
          <w:szCs w:val="24"/>
        </w:rPr>
        <w:t xml:space="preserve"> CO</w:t>
      </w:r>
      <w:r w:rsidR="00A43F1E" w:rsidRPr="00A43F1E">
        <w:rPr>
          <w:rFonts w:ascii="Times New Roman" w:hAnsi="Times New Roman" w:cs="Times New Roman"/>
          <w:sz w:val="24"/>
          <w:szCs w:val="24"/>
          <w:vertAlign w:val="subscript"/>
        </w:rPr>
        <w:t>2</w:t>
      </w:r>
      <w:r w:rsidR="00A43F1E">
        <w:rPr>
          <w:rFonts w:ascii="Times New Roman" w:hAnsi="Times New Roman" w:cs="Times New Roman"/>
          <w:sz w:val="24"/>
          <w:szCs w:val="24"/>
        </w:rPr>
        <w:t>, and a targeted vapor pressure deficit below a maximum of 2 kPa.</w:t>
      </w:r>
      <w:r w:rsidR="007963FF">
        <w:rPr>
          <w:rFonts w:ascii="Times New Roman" w:hAnsi="Times New Roman" w:cs="Times New Roman"/>
          <w:sz w:val="24"/>
          <w:szCs w:val="24"/>
        </w:rPr>
        <w:t xml:space="preserve"> Leaves were sampled while still attached to the tree, then were removed and retained for further analysis.</w:t>
      </w:r>
    </w:p>
    <w:p w14:paraId="2490E7C8" w14:textId="4FA6D029" w:rsidR="00E3402F" w:rsidRDefault="007963FF" w:rsidP="00A56EB3">
      <w:pPr>
        <w:spacing w:line="480" w:lineRule="auto"/>
        <w:ind w:firstLine="720"/>
        <w:rPr>
          <w:rFonts w:ascii="Times New Roman" w:hAnsi="Times New Roman" w:cs="Times New Roman"/>
          <w:sz w:val="24"/>
          <w:szCs w:val="24"/>
        </w:rPr>
      </w:pPr>
      <w:r>
        <w:rPr>
          <w:rFonts w:ascii="Times New Roman" w:hAnsi="Times New Roman" w:cs="Times New Roman"/>
          <w:sz w:val="24"/>
          <w:szCs w:val="24"/>
        </w:rPr>
        <w:t>Immediately following leaf removal from the tree, leaf reflectance was measured</w:t>
      </w:r>
      <w:r w:rsidR="00E3402F">
        <w:rPr>
          <w:rFonts w:ascii="Times New Roman" w:hAnsi="Times New Roman" w:cs="Times New Roman"/>
          <w:sz w:val="24"/>
          <w:szCs w:val="24"/>
        </w:rPr>
        <w:t xml:space="preserve"> in the field</w:t>
      </w:r>
      <w:r>
        <w:rPr>
          <w:rFonts w:ascii="Times New Roman" w:hAnsi="Times New Roman" w:cs="Times New Roman"/>
          <w:sz w:val="24"/>
          <w:szCs w:val="24"/>
        </w:rPr>
        <w:t xml:space="preserve"> for </w:t>
      </w:r>
      <w:r w:rsidR="00E8441E">
        <w:rPr>
          <w:rFonts w:ascii="Times New Roman" w:hAnsi="Times New Roman" w:cs="Times New Roman"/>
          <w:sz w:val="24"/>
          <w:szCs w:val="24"/>
        </w:rPr>
        <w:t xml:space="preserve">intact adaxial leaf surfaces of </w:t>
      </w:r>
      <w:r>
        <w:rPr>
          <w:rFonts w:ascii="Times New Roman" w:hAnsi="Times New Roman" w:cs="Times New Roman"/>
          <w:sz w:val="24"/>
          <w:szCs w:val="24"/>
        </w:rPr>
        <w:t xml:space="preserve">all broadleaf samples using a CI-710 miniature leaf spectrometer (CID Bio-Science Inc., Camas, Washington, USA). Conifer needles were too narrow to be </w:t>
      </w:r>
      <w:r w:rsidR="002A636C">
        <w:rPr>
          <w:rFonts w:ascii="Times New Roman" w:hAnsi="Times New Roman" w:cs="Times New Roman"/>
          <w:sz w:val="24"/>
          <w:szCs w:val="24"/>
        </w:rPr>
        <w:t>measured</w:t>
      </w:r>
      <w:r>
        <w:rPr>
          <w:rFonts w:ascii="Times New Roman" w:hAnsi="Times New Roman" w:cs="Times New Roman"/>
          <w:sz w:val="24"/>
          <w:szCs w:val="24"/>
        </w:rPr>
        <w:t xml:space="preserve"> with this instrument, resulting in the </w:t>
      </w:r>
      <w:r w:rsidR="002A636C">
        <w:rPr>
          <w:rFonts w:ascii="Times New Roman" w:hAnsi="Times New Roman" w:cs="Times New Roman"/>
          <w:sz w:val="24"/>
          <w:szCs w:val="24"/>
        </w:rPr>
        <w:t>capture</w:t>
      </w:r>
      <w:r>
        <w:rPr>
          <w:rFonts w:ascii="Times New Roman" w:hAnsi="Times New Roman" w:cs="Times New Roman"/>
          <w:sz w:val="24"/>
          <w:szCs w:val="24"/>
        </w:rPr>
        <w:t xml:space="preserve"> of</w:t>
      </w:r>
      <w:r w:rsidR="006B1CA2">
        <w:rPr>
          <w:rFonts w:ascii="Times New Roman" w:hAnsi="Times New Roman" w:cs="Times New Roman"/>
          <w:sz w:val="24"/>
          <w:szCs w:val="24"/>
        </w:rPr>
        <w:t xml:space="preserve"> </w:t>
      </w:r>
      <w:r w:rsidR="00C5103A">
        <w:rPr>
          <w:rFonts w:ascii="Times New Roman" w:hAnsi="Times New Roman" w:cs="Times New Roman"/>
          <w:sz w:val="24"/>
          <w:szCs w:val="24"/>
        </w:rPr>
        <w:t>reflectance spectra</w:t>
      </w:r>
      <w:r w:rsidR="006B1CA2">
        <w:rPr>
          <w:rFonts w:ascii="Times New Roman" w:hAnsi="Times New Roman" w:cs="Times New Roman"/>
          <w:sz w:val="24"/>
          <w:szCs w:val="24"/>
        </w:rPr>
        <w:t xml:space="preserve"> for</w:t>
      </w:r>
      <w:r>
        <w:rPr>
          <w:rFonts w:ascii="Times New Roman" w:hAnsi="Times New Roman" w:cs="Times New Roman"/>
          <w:sz w:val="24"/>
          <w:szCs w:val="24"/>
        </w:rPr>
        <w:t xml:space="preserve"> a subset of physiologically sampled leaves</w:t>
      </w:r>
      <w:r w:rsidR="002A636C">
        <w:rPr>
          <w:rFonts w:ascii="Times New Roman" w:hAnsi="Times New Roman" w:cs="Times New Roman"/>
          <w:sz w:val="24"/>
          <w:szCs w:val="24"/>
        </w:rPr>
        <w:t xml:space="preserve">. </w:t>
      </w:r>
      <w:r w:rsidR="00E3402F">
        <w:rPr>
          <w:rFonts w:ascii="Times New Roman" w:hAnsi="Times New Roman" w:cs="Times New Roman"/>
          <w:sz w:val="24"/>
          <w:szCs w:val="24"/>
        </w:rPr>
        <w:t>A suite of</w:t>
      </w:r>
      <w:r w:rsidR="002A636C">
        <w:rPr>
          <w:rFonts w:ascii="Times New Roman" w:hAnsi="Times New Roman" w:cs="Times New Roman"/>
          <w:sz w:val="24"/>
          <w:szCs w:val="24"/>
        </w:rPr>
        <w:t xml:space="preserve"> </w:t>
      </w:r>
      <w:r w:rsidR="00C97A70">
        <w:rPr>
          <w:rFonts w:ascii="Times New Roman" w:hAnsi="Times New Roman" w:cs="Times New Roman"/>
          <w:sz w:val="24"/>
          <w:szCs w:val="24"/>
        </w:rPr>
        <w:t xml:space="preserve">leaf </w:t>
      </w:r>
      <w:r w:rsidR="002A636C">
        <w:rPr>
          <w:rFonts w:ascii="Times New Roman" w:hAnsi="Times New Roman" w:cs="Times New Roman"/>
          <w:sz w:val="24"/>
          <w:szCs w:val="24"/>
        </w:rPr>
        <w:t xml:space="preserve">reflectance indices, including the </w:t>
      </w:r>
      <w:r w:rsidR="002A636C">
        <w:rPr>
          <w:rFonts w:ascii="Times New Roman" w:hAnsi="Times New Roman" w:cs="Times New Roman"/>
          <w:sz w:val="24"/>
          <w:szCs w:val="24"/>
        </w:rPr>
        <w:lastRenderedPageBreak/>
        <w:t>normalized difference vegetation index (NDVI) and its narrow-band counterpart, red edge NDVI (</w:t>
      </w:r>
      <w:proofErr w:type="spellStart"/>
      <w:r w:rsidR="002A636C">
        <w:rPr>
          <w:rFonts w:ascii="Times New Roman" w:hAnsi="Times New Roman" w:cs="Times New Roman"/>
          <w:sz w:val="24"/>
          <w:szCs w:val="24"/>
        </w:rPr>
        <w:t>reNDVI</w:t>
      </w:r>
      <w:proofErr w:type="spellEnd"/>
      <w:r w:rsidR="002A636C">
        <w:rPr>
          <w:rFonts w:ascii="Times New Roman" w:hAnsi="Times New Roman" w:cs="Times New Roman"/>
          <w:sz w:val="24"/>
          <w:szCs w:val="24"/>
        </w:rPr>
        <w:t>),</w:t>
      </w:r>
      <w:r w:rsidR="006F1FF8">
        <w:rPr>
          <w:rFonts w:ascii="Times New Roman" w:hAnsi="Times New Roman" w:cs="Times New Roman"/>
          <w:sz w:val="24"/>
          <w:szCs w:val="24"/>
        </w:rPr>
        <w:t xml:space="preserve"> were computed from the reflectance data using the</w:t>
      </w:r>
      <w:r w:rsidR="00E3402F">
        <w:rPr>
          <w:rFonts w:ascii="Times New Roman" w:hAnsi="Times New Roman" w:cs="Times New Roman"/>
          <w:sz w:val="24"/>
          <w:szCs w:val="24"/>
        </w:rPr>
        <w:t xml:space="preserve"> built-in </w:t>
      </w:r>
      <w:proofErr w:type="spellStart"/>
      <w:r w:rsidR="00E3402F">
        <w:rPr>
          <w:rFonts w:ascii="Times New Roman" w:hAnsi="Times New Roman" w:cs="Times New Roman"/>
          <w:sz w:val="24"/>
          <w:szCs w:val="24"/>
        </w:rPr>
        <w:t>Spectra</w:t>
      </w:r>
      <w:r w:rsidR="00F332EC">
        <w:rPr>
          <w:rFonts w:ascii="Times New Roman" w:hAnsi="Times New Roman" w:cs="Times New Roman"/>
          <w:sz w:val="24"/>
          <w:szCs w:val="24"/>
        </w:rPr>
        <w:t>S</w:t>
      </w:r>
      <w:r w:rsidR="00E3402F">
        <w:rPr>
          <w:rFonts w:ascii="Times New Roman" w:hAnsi="Times New Roman" w:cs="Times New Roman"/>
          <w:sz w:val="24"/>
          <w:szCs w:val="24"/>
        </w:rPr>
        <w:t>nap</w:t>
      </w:r>
      <w:proofErr w:type="spellEnd"/>
      <w:r w:rsidR="00E3402F">
        <w:rPr>
          <w:rFonts w:ascii="Times New Roman" w:hAnsi="Times New Roman" w:cs="Times New Roman"/>
          <w:sz w:val="24"/>
          <w:szCs w:val="24"/>
        </w:rPr>
        <w:t xml:space="preserve"> software.</w:t>
      </w:r>
      <w:r w:rsidR="00C97A70">
        <w:rPr>
          <w:rFonts w:ascii="Times New Roman" w:hAnsi="Times New Roman" w:cs="Times New Roman"/>
          <w:sz w:val="24"/>
          <w:szCs w:val="24"/>
        </w:rPr>
        <w:t xml:space="preserve"> </w:t>
      </w:r>
    </w:p>
    <w:p w14:paraId="15CB210C" w14:textId="47E891FE" w:rsidR="007963FF" w:rsidRDefault="007963FF" w:rsidP="00D442F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Leaf morphology, summarized as leaf mass per area (LMA), was </w:t>
      </w:r>
      <w:r w:rsidR="004548B0">
        <w:rPr>
          <w:rFonts w:ascii="Times New Roman" w:hAnsi="Times New Roman" w:cs="Times New Roman"/>
          <w:sz w:val="24"/>
          <w:szCs w:val="24"/>
        </w:rPr>
        <w:t>determined for every sampled leaf following collection in the field. While still fresh, leaves were scanned using an LI-3100C area meter (LI-COR Biosciences Inc., Lincoln, Nebraska, USA) on the appropriate resolution setting (1.0 mm</w:t>
      </w:r>
      <w:r w:rsidR="004548B0" w:rsidRPr="004548B0">
        <w:rPr>
          <w:rFonts w:ascii="Times New Roman" w:hAnsi="Times New Roman" w:cs="Times New Roman"/>
          <w:sz w:val="24"/>
          <w:szCs w:val="24"/>
          <w:vertAlign w:val="superscript"/>
        </w:rPr>
        <w:t>2</w:t>
      </w:r>
      <w:r w:rsidR="004548B0">
        <w:rPr>
          <w:rFonts w:ascii="Times New Roman" w:hAnsi="Times New Roman" w:cs="Times New Roman"/>
          <w:sz w:val="24"/>
          <w:szCs w:val="24"/>
        </w:rPr>
        <w:t xml:space="preserve"> for broadlea</w:t>
      </w:r>
      <w:r w:rsidR="004942C8">
        <w:rPr>
          <w:rFonts w:ascii="Times New Roman" w:hAnsi="Times New Roman" w:cs="Times New Roman"/>
          <w:sz w:val="24"/>
          <w:szCs w:val="24"/>
        </w:rPr>
        <w:t>f</w:t>
      </w:r>
      <w:r w:rsidR="004548B0">
        <w:rPr>
          <w:rFonts w:ascii="Times New Roman" w:hAnsi="Times New Roman" w:cs="Times New Roman"/>
          <w:sz w:val="24"/>
          <w:szCs w:val="24"/>
        </w:rPr>
        <w:t xml:space="preserve"> and 0.1 mm</w:t>
      </w:r>
      <w:r w:rsidR="004548B0" w:rsidRPr="004548B0">
        <w:rPr>
          <w:rFonts w:ascii="Times New Roman" w:hAnsi="Times New Roman" w:cs="Times New Roman"/>
          <w:sz w:val="24"/>
          <w:szCs w:val="24"/>
          <w:vertAlign w:val="superscript"/>
        </w:rPr>
        <w:t>2</w:t>
      </w:r>
      <w:r w:rsidR="004548B0">
        <w:rPr>
          <w:rFonts w:ascii="Times New Roman" w:hAnsi="Times New Roman" w:cs="Times New Roman"/>
          <w:sz w:val="24"/>
          <w:szCs w:val="24"/>
        </w:rPr>
        <w:t xml:space="preserve"> for needlelea</w:t>
      </w:r>
      <w:r w:rsidR="004942C8">
        <w:rPr>
          <w:rFonts w:ascii="Times New Roman" w:hAnsi="Times New Roman" w:cs="Times New Roman"/>
          <w:sz w:val="24"/>
          <w:szCs w:val="24"/>
        </w:rPr>
        <w:t>f samples</w:t>
      </w:r>
      <w:r w:rsidR="004548B0">
        <w:rPr>
          <w:rFonts w:ascii="Times New Roman" w:hAnsi="Times New Roman" w:cs="Times New Roman"/>
          <w:sz w:val="24"/>
          <w:szCs w:val="24"/>
        </w:rPr>
        <w:t xml:space="preserve">). </w:t>
      </w:r>
      <w:r w:rsidR="004942C8">
        <w:rPr>
          <w:rFonts w:ascii="Times New Roman" w:hAnsi="Times New Roman" w:cs="Times New Roman"/>
          <w:sz w:val="24"/>
          <w:szCs w:val="24"/>
        </w:rPr>
        <w:t xml:space="preserve">Subsequently, leaves were dried for </w:t>
      </w:r>
      <w:r w:rsidR="00F332EC">
        <w:rPr>
          <w:rFonts w:ascii="Times New Roman" w:hAnsi="Times New Roman" w:cs="Times New Roman"/>
          <w:sz w:val="24"/>
          <w:szCs w:val="24"/>
        </w:rPr>
        <w:t>72</w:t>
      </w:r>
      <w:r w:rsidR="004942C8">
        <w:rPr>
          <w:rFonts w:ascii="Times New Roman" w:hAnsi="Times New Roman" w:cs="Times New Roman"/>
          <w:sz w:val="24"/>
          <w:szCs w:val="24"/>
        </w:rPr>
        <w:t xml:space="preserve"> hours at 60 °C</w:t>
      </w:r>
      <w:r w:rsidR="00EE791C">
        <w:rPr>
          <w:rFonts w:ascii="Times New Roman" w:hAnsi="Times New Roman" w:cs="Times New Roman"/>
          <w:sz w:val="24"/>
          <w:szCs w:val="24"/>
        </w:rPr>
        <w:t xml:space="preserve"> before being weighed, </w:t>
      </w:r>
      <w:r w:rsidR="00F332EC">
        <w:rPr>
          <w:rFonts w:ascii="Times New Roman" w:hAnsi="Times New Roman" w:cs="Times New Roman"/>
          <w:sz w:val="24"/>
          <w:szCs w:val="24"/>
        </w:rPr>
        <w:t>and then</w:t>
      </w:r>
      <w:r w:rsidR="00EE791C">
        <w:rPr>
          <w:rFonts w:ascii="Times New Roman" w:hAnsi="Times New Roman" w:cs="Times New Roman"/>
          <w:sz w:val="24"/>
          <w:szCs w:val="24"/>
        </w:rPr>
        <w:t xml:space="preserve"> LMA </w:t>
      </w:r>
      <w:r w:rsidR="00F332EC">
        <w:rPr>
          <w:rFonts w:ascii="Times New Roman" w:hAnsi="Times New Roman" w:cs="Times New Roman"/>
          <w:sz w:val="24"/>
          <w:szCs w:val="24"/>
        </w:rPr>
        <w:t>was computed as</w:t>
      </w:r>
      <w:r w:rsidR="00EE791C">
        <w:rPr>
          <w:rFonts w:ascii="Times New Roman" w:hAnsi="Times New Roman" w:cs="Times New Roman"/>
          <w:sz w:val="24"/>
          <w:szCs w:val="24"/>
        </w:rPr>
        <w:t xml:space="preserve"> the ratio of leaf area and dry mass.</w:t>
      </w:r>
    </w:p>
    <w:p w14:paraId="726A0F47" w14:textId="6CC50040" w:rsidR="00373FD3" w:rsidRPr="00373FD3" w:rsidRDefault="00373FD3" w:rsidP="00420FB9">
      <w:pPr>
        <w:spacing w:line="480" w:lineRule="auto"/>
        <w:rPr>
          <w:rFonts w:ascii="Times New Roman" w:hAnsi="Times New Roman" w:cs="Times New Roman"/>
          <w:i/>
          <w:iCs/>
          <w:sz w:val="24"/>
          <w:szCs w:val="24"/>
        </w:rPr>
      </w:pPr>
      <w:r w:rsidRPr="00373FD3">
        <w:rPr>
          <w:rFonts w:ascii="Times New Roman" w:hAnsi="Times New Roman" w:cs="Times New Roman"/>
          <w:i/>
          <w:iCs/>
          <w:sz w:val="24"/>
          <w:szCs w:val="24"/>
        </w:rPr>
        <w:t xml:space="preserve">2.3 </w:t>
      </w:r>
      <w:r w:rsidR="00AD46A9">
        <w:rPr>
          <w:rFonts w:ascii="Times New Roman" w:hAnsi="Times New Roman" w:cs="Times New Roman"/>
          <w:i/>
          <w:iCs/>
          <w:sz w:val="24"/>
          <w:szCs w:val="24"/>
        </w:rPr>
        <w:t>Vegetation c</w:t>
      </w:r>
      <w:r w:rsidRPr="00373FD3">
        <w:rPr>
          <w:rFonts w:ascii="Times New Roman" w:hAnsi="Times New Roman" w:cs="Times New Roman"/>
          <w:i/>
          <w:iCs/>
          <w:sz w:val="24"/>
          <w:szCs w:val="24"/>
        </w:rPr>
        <w:t>anopy structure</w:t>
      </w:r>
      <w:r w:rsidR="00567E3C">
        <w:rPr>
          <w:rFonts w:ascii="Times New Roman" w:hAnsi="Times New Roman" w:cs="Times New Roman"/>
          <w:i/>
          <w:iCs/>
          <w:sz w:val="24"/>
          <w:szCs w:val="24"/>
        </w:rPr>
        <w:t xml:space="preserve"> </w:t>
      </w:r>
    </w:p>
    <w:p w14:paraId="79988889" w14:textId="11AA31DE" w:rsidR="00567E3C" w:rsidRPr="00F27225" w:rsidRDefault="00373FD3" w:rsidP="00F332EC">
      <w:pPr>
        <w:spacing w:line="480" w:lineRule="auto"/>
        <w:ind w:firstLine="720"/>
        <w:rPr>
          <w:rFonts w:ascii="Times New Roman" w:hAnsi="Times New Roman" w:cs="Times New Roman"/>
          <w:color w:val="000000"/>
          <w:sz w:val="24"/>
          <w:szCs w:val="24"/>
        </w:rPr>
      </w:pPr>
      <w:r>
        <w:rPr>
          <w:rFonts w:ascii="Times New Roman" w:hAnsi="Times New Roman" w:cs="Times New Roman"/>
          <w:sz w:val="24"/>
          <w:szCs w:val="24"/>
        </w:rPr>
        <w:t xml:space="preserve">Canopy </w:t>
      </w:r>
      <w:r w:rsidR="00D22361">
        <w:rPr>
          <w:rFonts w:ascii="Times New Roman" w:hAnsi="Times New Roman" w:cs="Times New Roman"/>
          <w:sz w:val="24"/>
          <w:szCs w:val="24"/>
        </w:rPr>
        <w:t>structure</w:t>
      </w:r>
      <w:r w:rsidR="0090613A">
        <w:rPr>
          <w:rFonts w:ascii="Times New Roman" w:hAnsi="Times New Roman" w:cs="Times New Roman"/>
          <w:sz w:val="24"/>
          <w:szCs w:val="24"/>
        </w:rPr>
        <w:t>, or the quantity and arrangement of vegetation cover in the forest canopy,</w:t>
      </w:r>
      <w:r w:rsidR="00C3543C">
        <w:rPr>
          <w:rFonts w:ascii="Times New Roman" w:hAnsi="Times New Roman" w:cs="Times New Roman"/>
          <w:sz w:val="24"/>
          <w:szCs w:val="24"/>
        </w:rPr>
        <w:t xml:space="preserve"> was assessed</w:t>
      </w:r>
      <w:r w:rsidR="007344CC">
        <w:rPr>
          <w:rFonts w:ascii="Times New Roman" w:hAnsi="Times New Roman" w:cs="Times New Roman"/>
          <w:sz w:val="24"/>
          <w:szCs w:val="24"/>
        </w:rPr>
        <w:t xml:space="preserve"> </w:t>
      </w:r>
      <w:r w:rsidR="00C3543C">
        <w:rPr>
          <w:rFonts w:ascii="Times New Roman" w:hAnsi="Times New Roman" w:cs="Times New Roman"/>
          <w:sz w:val="24"/>
          <w:szCs w:val="24"/>
        </w:rPr>
        <w:t>via</w:t>
      </w:r>
      <w:r>
        <w:rPr>
          <w:rFonts w:ascii="Times New Roman" w:hAnsi="Times New Roman" w:cs="Times New Roman"/>
          <w:sz w:val="24"/>
          <w:szCs w:val="24"/>
        </w:rPr>
        <w:t xml:space="preserve"> annual</w:t>
      </w:r>
      <w:r w:rsidR="007344CC">
        <w:rPr>
          <w:rFonts w:ascii="Times New Roman" w:hAnsi="Times New Roman" w:cs="Times New Roman"/>
          <w:sz w:val="24"/>
          <w:szCs w:val="24"/>
        </w:rPr>
        <w:t xml:space="preserve"> measurements</w:t>
      </w:r>
      <w:r w:rsidR="00D22361">
        <w:rPr>
          <w:rFonts w:ascii="Times New Roman" w:hAnsi="Times New Roman" w:cs="Times New Roman"/>
          <w:sz w:val="24"/>
          <w:szCs w:val="24"/>
        </w:rPr>
        <w:t xml:space="preserve"> at full leaf-out</w:t>
      </w:r>
      <w:r>
        <w:rPr>
          <w:rFonts w:ascii="Times New Roman" w:hAnsi="Times New Roman" w:cs="Times New Roman"/>
          <w:sz w:val="24"/>
          <w:szCs w:val="24"/>
        </w:rPr>
        <w:t xml:space="preserve"> across </w:t>
      </w:r>
      <w:proofErr w:type="spellStart"/>
      <w:r>
        <w:rPr>
          <w:rFonts w:ascii="Times New Roman" w:hAnsi="Times New Roman" w:cs="Times New Roman"/>
          <w:sz w:val="24"/>
          <w:szCs w:val="24"/>
        </w:rPr>
        <w:t>FoRTE</w:t>
      </w:r>
      <w:proofErr w:type="spellEnd"/>
      <w:r>
        <w:rPr>
          <w:rFonts w:ascii="Times New Roman" w:hAnsi="Times New Roman" w:cs="Times New Roman"/>
          <w:sz w:val="24"/>
          <w:szCs w:val="24"/>
        </w:rPr>
        <w:t xml:space="preserve"> subplots </w:t>
      </w:r>
      <w:r w:rsidR="007344CC">
        <w:rPr>
          <w:rFonts w:ascii="Times New Roman" w:hAnsi="Times New Roman" w:cs="Times New Roman"/>
          <w:sz w:val="24"/>
          <w:szCs w:val="24"/>
        </w:rPr>
        <w:t xml:space="preserve">using </w:t>
      </w:r>
      <w:r>
        <w:rPr>
          <w:rFonts w:ascii="Times New Roman" w:hAnsi="Times New Roman" w:cs="Times New Roman"/>
          <w:sz w:val="24"/>
          <w:szCs w:val="24"/>
        </w:rPr>
        <w:t>portable canopy LiDAR (PCL)</w:t>
      </w:r>
      <w:r w:rsidR="007344CC">
        <w:rPr>
          <w:rFonts w:ascii="Times New Roman" w:hAnsi="Times New Roman" w:cs="Times New Roman"/>
          <w:sz w:val="24"/>
          <w:szCs w:val="24"/>
        </w:rPr>
        <w:t>. PCL entails the use of a</w:t>
      </w:r>
      <w:r w:rsidR="00403D9A">
        <w:rPr>
          <w:rFonts w:ascii="Times New Roman" w:hAnsi="Times New Roman" w:cs="Times New Roman"/>
          <w:sz w:val="24"/>
          <w:szCs w:val="24"/>
        </w:rPr>
        <w:t xml:space="preserve"> </w:t>
      </w:r>
      <w:r w:rsidR="007344CC">
        <w:rPr>
          <w:rFonts w:ascii="Times New Roman" w:hAnsi="Times New Roman" w:cs="Times New Roman"/>
          <w:sz w:val="24"/>
          <w:szCs w:val="24"/>
        </w:rPr>
        <w:t xml:space="preserve">user-mounted, upward facing </w:t>
      </w:r>
      <w:r w:rsidR="00403D9A">
        <w:rPr>
          <w:rFonts w:ascii="Times New Roman" w:hAnsi="Times New Roman" w:cs="Times New Roman"/>
          <w:sz w:val="24"/>
          <w:szCs w:val="24"/>
        </w:rPr>
        <w:t xml:space="preserve">near-infrared pulsed </w:t>
      </w:r>
      <w:r w:rsidR="007344CC">
        <w:rPr>
          <w:rFonts w:ascii="Times New Roman" w:hAnsi="Times New Roman" w:cs="Times New Roman"/>
          <w:sz w:val="24"/>
          <w:szCs w:val="24"/>
        </w:rPr>
        <w:t xml:space="preserve">laser </w:t>
      </w:r>
      <w:r w:rsidR="00403D9A">
        <w:rPr>
          <w:rFonts w:ascii="Times New Roman" w:hAnsi="Times New Roman" w:cs="Times New Roman"/>
          <w:sz w:val="24"/>
          <w:szCs w:val="24"/>
        </w:rPr>
        <w:t xml:space="preserve">operating at 2000 Hz </w:t>
      </w:r>
      <w:r w:rsidR="007344CC">
        <w:rPr>
          <w:rFonts w:ascii="Times New Roman" w:hAnsi="Times New Roman" w:cs="Times New Roman"/>
          <w:sz w:val="24"/>
          <w:szCs w:val="24"/>
        </w:rPr>
        <w:t>(</w:t>
      </w:r>
      <w:proofErr w:type="spellStart"/>
      <w:r w:rsidR="00403D9A">
        <w:rPr>
          <w:rFonts w:ascii="Times New Roman" w:hAnsi="Times New Roman" w:cs="Times New Roman"/>
          <w:sz w:val="24"/>
          <w:szCs w:val="24"/>
        </w:rPr>
        <w:t>Riegl</w:t>
      </w:r>
      <w:proofErr w:type="spellEnd"/>
      <w:r w:rsidR="00403D9A">
        <w:rPr>
          <w:rFonts w:ascii="Times New Roman" w:hAnsi="Times New Roman" w:cs="Times New Roman"/>
          <w:sz w:val="24"/>
          <w:szCs w:val="24"/>
        </w:rPr>
        <w:t xml:space="preserve"> USA, Inc., Orlando, Florida, USA) collecting returns as the user walks</w:t>
      </w:r>
      <w:r w:rsidR="00C2098D">
        <w:rPr>
          <w:rFonts w:ascii="Times New Roman" w:hAnsi="Times New Roman" w:cs="Times New Roman"/>
          <w:sz w:val="24"/>
          <w:szCs w:val="24"/>
        </w:rPr>
        <w:t xml:space="preserve"> </w:t>
      </w:r>
      <w:r w:rsidR="00403D9A">
        <w:rPr>
          <w:rFonts w:ascii="Times New Roman" w:hAnsi="Times New Roman" w:cs="Times New Roman"/>
          <w:sz w:val="24"/>
          <w:szCs w:val="24"/>
        </w:rPr>
        <w:t xml:space="preserve">transects through </w:t>
      </w:r>
      <w:r w:rsidR="00C3543C">
        <w:rPr>
          <w:rFonts w:ascii="Times New Roman" w:hAnsi="Times New Roman" w:cs="Times New Roman"/>
          <w:sz w:val="24"/>
          <w:szCs w:val="24"/>
        </w:rPr>
        <w:t>experimental subplots</w:t>
      </w:r>
      <w:r w:rsidR="00403D9A">
        <w:rPr>
          <w:rFonts w:ascii="Times New Roman" w:hAnsi="Times New Roman" w:cs="Times New Roman"/>
          <w:sz w:val="24"/>
          <w:szCs w:val="24"/>
        </w:rPr>
        <w:t xml:space="preserve"> (full methods described in </w:t>
      </w:r>
      <w:sdt>
        <w:sdtPr>
          <w:rPr>
            <w:rFonts w:ascii="Times New Roman" w:hAnsi="Times New Roman" w:cs="Times New Roman"/>
            <w:color w:val="000000"/>
            <w:sz w:val="24"/>
            <w:szCs w:val="24"/>
          </w:rPr>
          <w:tag w:val="MENDELEY_CITATION_v3_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"/>
          <w:id w:val="-1039205434"/>
          <w:placeholder>
            <w:docPart w:val="DefaultPlaceholder_-1854013440"/>
          </w:placeholder>
        </w:sdtPr>
        <w:sdtEndPr/>
        <w:sdtContent>
          <w:r w:rsidR="0078519D" w:rsidRPr="0078519D">
            <w:rPr>
              <w:rFonts w:ascii="Times New Roman" w:hAnsi="Times New Roman" w:cs="Times New Roman"/>
              <w:color w:val="000000"/>
              <w:sz w:val="24"/>
              <w:szCs w:val="24"/>
            </w:rPr>
            <w:t>Hardiman et al., 2011)</w:t>
          </w:r>
        </w:sdtContent>
      </w:sdt>
      <w:r w:rsidR="00403D9A">
        <w:rPr>
          <w:rFonts w:ascii="Times New Roman" w:hAnsi="Times New Roman" w:cs="Times New Roman"/>
          <w:sz w:val="24"/>
          <w:szCs w:val="24"/>
        </w:rPr>
        <w:t xml:space="preserve">. </w:t>
      </w:r>
      <w:r w:rsidR="00C3543C">
        <w:rPr>
          <w:rFonts w:ascii="Times New Roman" w:hAnsi="Times New Roman" w:cs="Times New Roman"/>
          <w:sz w:val="24"/>
          <w:szCs w:val="24"/>
        </w:rPr>
        <w:t>Data are then analy</w:t>
      </w:r>
      <w:r w:rsidR="00C2098D">
        <w:rPr>
          <w:rFonts w:ascii="Times New Roman" w:hAnsi="Times New Roman" w:cs="Times New Roman"/>
          <w:sz w:val="24"/>
          <w:szCs w:val="24"/>
        </w:rPr>
        <w:t>z</w:t>
      </w:r>
      <w:r w:rsidR="00C3543C">
        <w:rPr>
          <w:rFonts w:ascii="Times New Roman" w:hAnsi="Times New Roman" w:cs="Times New Roman"/>
          <w:sz w:val="24"/>
          <w:szCs w:val="24"/>
        </w:rPr>
        <w:t xml:space="preserve">ed using the </w:t>
      </w:r>
      <w:proofErr w:type="spellStart"/>
      <w:r w:rsidR="00C3543C" w:rsidRPr="00C3543C">
        <w:rPr>
          <w:rFonts w:ascii="Times New Roman" w:hAnsi="Times New Roman" w:cs="Times New Roman"/>
          <w:i/>
          <w:iCs/>
          <w:sz w:val="24"/>
          <w:szCs w:val="24"/>
        </w:rPr>
        <w:t>forestr</w:t>
      </w:r>
      <w:proofErr w:type="spellEnd"/>
      <w:r w:rsidR="00C3543C">
        <w:rPr>
          <w:rFonts w:ascii="Times New Roman" w:hAnsi="Times New Roman" w:cs="Times New Roman"/>
          <w:sz w:val="24"/>
          <w:szCs w:val="24"/>
        </w:rPr>
        <w:t xml:space="preserve"> R package to compute a suite of canopy structural metrics </w:t>
      </w:r>
      <w:sdt>
        <w:sdtPr>
          <w:rPr>
            <w:rFonts w:ascii="Times New Roman" w:hAnsi="Times New Roman" w:cs="Times New Roman"/>
            <w:color w:val="000000"/>
            <w:sz w:val="24"/>
            <w:szCs w:val="24"/>
          </w:rPr>
          <w:tag w:val="MENDELEY_CITATION_v3_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"/>
          <w:id w:val="1960609161"/>
          <w:placeholder>
            <w:docPart w:val="DefaultPlaceholder_-1854013440"/>
          </w:placeholder>
        </w:sdtPr>
        <w:sdtEndPr/>
        <w:sdtContent>
          <w:r w:rsidR="0078519D" w:rsidRPr="0078519D">
            <w:rPr>
              <w:rFonts w:ascii="Times New Roman" w:hAnsi="Times New Roman" w:cs="Times New Roman"/>
              <w:color w:val="000000"/>
              <w:sz w:val="24"/>
              <w:szCs w:val="24"/>
            </w:rPr>
            <w:t>(Atkins et al., 2018)</w:t>
          </w:r>
        </w:sdtContent>
      </w:sdt>
      <w:r w:rsidR="00F27225">
        <w:rPr>
          <w:rFonts w:ascii="Times New Roman" w:hAnsi="Times New Roman" w:cs="Times New Roman"/>
          <w:color w:val="000000"/>
          <w:sz w:val="24"/>
          <w:szCs w:val="24"/>
        </w:rPr>
        <w:t>, including vegetation area index (VAI). VAI</w:t>
      </w:r>
      <w:r w:rsidR="00567E3C">
        <w:rPr>
          <w:rFonts w:ascii="Times New Roman" w:hAnsi="Times New Roman" w:cs="Times New Roman"/>
          <w:color w:val="000000"/>
          <w:sz w:val="24"/>
          <w:szCs w:val="24"/>
        </w:rPr>
        <w:t xml:space="preserve"> is a</w:t>
      </w:r>
      <w:r w:rsidR="00F27225">
        <w:rPr>
          <w:rFonts w:ascii="Times New Roman" w:hAnsi="Times New Roman" w:cs="Times New Roman"/>
          <w:color w:val="000000"/>
          <w:sz w:val="24"/>
          <w:szCs w:val="24"/>
        </w:rPr>
        <w:t xml:space="preserve"> unitless</w:t>
      </w:r>
      <w:r w:rsidR="00567E3C">
        <w:rPr>
          <w:rFonts w:ascii="Times New Roman" w:hAnsi="Times New Roman" w:cs="Times New Roman"/>
          <w:color w:val="000000"/>
          <w:sz w:val="24"/>
          <w:szCs w:val="24"/>
        </w:rPr>
        <w:t xml:space="preserve"> measure of total canopy surface area (leaves plus the woody components of the canopy)</w:t>
      </w:r>
      <w:r w:rsidR="00F27225">
        <w:rPr>
          <w:rFonts w:ascii="Times New Roman" w:hAnsi="Times New Roman" w:cs="Times New Roman"/>
          <w:color w:val="000000"/>
          <w:sz w:val="24"/>
          <w:szCs w:val="24"/>
        </w:rPr>
        <w:t xml:space="preserve"> per unit ground area and has been found to correlate with ecosystem functions of interest, including net primary production (REF</w:t>
      </w:r>
      <w:r w:rsidR="00C5103A">
        <w:rPr>
          <w:rFonts w:ascii="Times New Roman" w:hAnsi="Times New Roman" w:cs="Times New Roman"/>
          <w:color w:val="000000"/>
          <w:sz w:val="24"/>
          <w:szCs w:val="24"/>
        </w:rPr>
        <w:t>S!!</w:t>
      </w:r>
      <w:r w:rsidR="00F27225">
        <w:rPr>
          <w:rFonts w:ascii="Times New Roman" w:hAnsi="Times New Roman" w:cs="Times New Roman"/>
          <w:color w:val="000000"/>
          <w:sz w:val="24"/>
          <w:szCs w:val="24"/>
        </w:rPr>
        <w:t>)</w:t>
      </w:r>
      <w:r w:rsidR="0090613A">
        <w:rPr>
          <w:rFonts w:ascii="Times New Roman" w:hAnsi="Times New Roman" w:cs="Times New Roman"/>
          <w:color w:val="000000"/>
          <w:sz w:val="24"/>
          <w:szCs w:val="24"/>
        </w:rPr>
        <w:t xml:space="preserve">. VAI was computed from the means of two 40 m transects in each subplot in each year. Due to </w:t>
      </w:r>
      <w:r w:rsidR="00336667">
        <w:rPr>
          <w:rFonts w:ascii="Times New Roman" w:hAnsi="Times New Roman" w:cs="Times New Roman"/>
          <w:color w:val="000000"/>
          <w:sz w:val="24"/>
          <w:szCs w:val="24"/>
        </w:rPr>
        <w:t>accidental omission</w:t>
      </w:r>
      <w:r w:rsidR="00137957">
        <w:rPr>
          <w:rFonts w:ascii="Times New Roman" w:hAnsi="Times New Roman" w:cs="Times New Roman"/>
          <w:color w:val="000000"/>
          <w:sz w:val="24"/>
          <w:szCs w:val="24"/>
        </w:rPr>
        <w:t xml:space="preserve">, </w:t>
      </w:r>
      <w:r w:rsidR="00C5103A">
        <w:rPr>
          <w:rFonts w:ascii="Times New Roman" w:hAnsi="Times New Roman" w:cs="Times New Roman"/>
          <w:color w:val="000000"/>
          <w:sz w:val="24"/>
          <w:szCs w:val="24"/>
        </w:rPr>
        <w:t>four</w:t>
      </w:r>
      <w:r w:rsidR="00137957">
        <w:rPr>
          <w:rFonts w:ascii="Times New Roman" w:hAnsi="Times New Roman" w:cs="Times New Roman"/>
          <w:color w:val="000000"/>
          <w:sz w:val="24"/>
          <w:szCs w:val="24"/>
        </w:rPr>
        <w:t xml:space="preserve"> subplots were </w:t>
      </w:r>
      <w:r w:rsidR="00336667">
        <w:rPr>
          <w:rFonts w:ascii="Times New Roman" w:hAnsi="Times New Roman" w:cs="Times New Roman"/>
          <w:color w:val="000000"/>
          <w:sz w:val="24"/>
          <w:szCs w:val="24"/>
        </w:rPr>
        <w:t>excluded</w:t>
      </w:r>
      <w:r w:rsidR="00137957">
        <w:rPr>
          <w:rFonts w:ascii="Times New Roman" w:hAnsi="Times New Roman" w:cs="Times New Roman"/>
          <w:color w:val="000000"/>
          <w:sz w:val="24"/>
          <w:szCs w:val="24"/>
        </w:rPr>
        <w:t xml:space="preserve"> from measurement in 2018 and </w:t>
      </w:r>
      <w:r w:rsidR="00C5103A">
        <w:rPr>
          <w:rFonts w:ascii="Times New Roman" w:hAnsi="Times New Roman" w:cs="Times New Roman"/>
          <w:color w:val="000000"/>
          <w:sz w:val="24"/>
          <w:szCs w:val="24"/>
        </w:rPr>
        <w:t>two</w:t>
      </w:r>
      <w:r w:rsidR="00137957">
        <w:rPr>
          <w:rFonts w:ascii="Times New Roman" w:hAnsi="Times New Roman" w:cs="Times New Roman"/>
          <w:color w:val="000000"/>
          <w:sz w:val="24"/>
          <w:szCs w:val="24"/>
        </w:rPr>
        <w:t xml:space="preserve"> in 2019.</w:t>
      </w:r>
    </w:p>
    <w:p w14:paraId="42AF2FD6" w14:textId="6B3F5302" w:rsidR="00373FD3" w:rsidRPr="00373FD3" w:rsidRDefault="00373FD3" w:rsidP="00420FB9">
      <w:pPr>
        <w:spacing w:line="480" w:lineRule="auto"/>
        <w:rPr>
          <w:rFonts w:ascii="Times New Roman" w:hAnsi="Times New Roman" w:cs="Times New Roman"/>
          <w:i/>
          <w:iCs/>
          <w:sz w:val="24"/>
          <w:szCs w:val="24"/>
        </w:rPr>
      </w:pPr>
      <w:r w:rsidRPr="00373FD3">
        <w:rPr>
          <w:rFonts w:ascii="Times New Roman" w:hAnsi="Times New Roman" w:cs="Times New Roman"/>
          <w:i/>
          <w:iCs/>
          <w:sz w:val="24"/>
          <w:szCs w:val="24"/>
        </w:rPr>
        <w:t>2.4 Aboveground wood net primary production</w:t>
      </w:r>
    </w:p>
    <w:p w14:paraId="111EACC8" w14:textId="460CAC7B" w:rsidR="00373FD3" w:rsidRDefault="00137957" w:rsidP="000A1B4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Aboveground wood net primary production (</w:t>
      </w:r>
      <w:proofErr w:type="spellStart"/>
      <w:r>
        <w:rPr>
          <w:rFonts w:ascii="Times New Roman" w:hAnsi="Times New Roman" w:cs="Times New Roman"/>
          <w:sz w:val="24"/>
          <w:szCs w:val="24"/>
        </w:rPr>
        <w:t>ANPP</w:t>
      </w:r>
      <w:r w:rsidRPr="00137957">
        <w:rPr>
          <w:rFonts w:ascii="Times New Roman" w:hAnsi="Times New Roman" w:cs="Times New Roman"/>
          <w:sz w:val="24"/>
          <w:szCs w:val="24"/>
          <w:vertAlign w:val="subscript"/>
        </w:rPr>
        <w:t>w</w:t>
      </w:r>
      <w:proofErr w:type="spellEnd"/>
      <w:r>
        <w:rPr>
          <w:rFonts w:ascii="Times New Roman" w:hAnsi="Times New Roman" w:cs="Times New Roman"/>
          <w:sz w:val="24"/>
          <w:szCs w:val="24"/>
        </w:rPr>
        <w:t xml:space="preserve">) was computed from </w:t>
      </w:r>
      <w:r w:rsidR="00EF71B0">
        <w:rPr>
          <w:rFonts w:ascii="Times New Roman" w:hAnsi="Times New Roman" w:cs="Times New Roman"/>
          <w:sz w:val="24"/>
          <w:szCs w:val="24"/>
        </w:rPr>
        <w:t xml:space="preserve">repeated measurements of stem diameter </w:t>
      </w:r>
      <w:r w:rsidR="00262AB4">
        <w:rPr>
          <w:rFonts w:ascii="Times New Roman" w:hAnsi="Times New Roman" w:cs="Times New Roman"/>
          <w:sz w:val="24"/>
          <w:szCs w:val="24"/>
        </w:rPr>
        <w:t>for a subset of subcanopy</w:t>
      </w:r>
      <w:r w:rsidR="00AF3434">
        <w:rPr>
          <w:rFonts w:ascii="Times New Roman" w:hAnsi="Times New Roman" w:cs="Times New Roman"/>
          <w:sz w:val="24"/>
          <w:szCs w:val="24"/>
        </w:rPr>
        <w:t xml:space="preserve"> trees</w:t>
      </w:r>
      <w:r w:rsidR="009D48F6">
        <w:rPr>
          <w:rFonts w:ascii="Times New Roman" w:hAnsi="Times New Roman" w:cs="Times New Roman"/>
          <w:sz w:val="24"/>
          <w:szCs w:val="24"/>
        </w:rPr>
        <w:t xml:space="preserve"> </w:t>
      </w:r>
      <w:r w:rsidR="00AF3434">
        <w:rPr>
          <w:rFonts w:ascii="Times New Roman" w:hAnsi="Times New Roman" w:cs="Times New Roman"/>
          <w:sz w:val="24"/>
          <w:szCs w:val="24"/>
        </w:rPr>
        <w:t>(1-8 cm DBH)</w:t>
      </w:r>
      <w:r w:rsidR="00262AB4">
        <w:rPr>
          <w:rFonts w:ascii="Times New Roman" w:hAnsi="Times New Roman" w:cs="Times New Roman"/>
          <w:sz w:val="24"/>
          <w:szCs w:val="24"/>
        </w:rPr>
        <w:t xml:space="preserve">. </w:t>
      </w:r>
      <w:r w:rsidR="00AF3434">
        <w:rPr>
          <w:rFonts w:ascii="Times New Roman" w:hAnsi="Times New Roman" w:cs="Times New Roman"/>
          <w:sz w:val="24"/>
          <w:szCs w:val="24"/>
        </w:rPr>
        <w:t>Two stems</w:t>
      </w:r>
      <w:r w:rsidR="0049492D">
        <w:rPr>
          <w:rFonts w:ascii="Times New Roman" w:hAnsi="Times New Roman" w:cs="Times New Roman"/>
          <w:sz w:val="24"/>
          <w:szCs w:val="24"/>
        </w:rPr>
        <w:t xml:space="preserve"> in this size class</w:t>
      </w:r>
      <w:r w:rsidR="00AF3434">
        <w:rPr>
          <w:rFonts w:ascii="Times New Roman" w:hAnsi="Times New Roman" w:cs="Times New Roman"/>
          <w:sz w:val="24"/>
          <w:szCs w:val="24"/>
        </w:rPr>
        <w:t xml:space="preserve"> were chosen within the same vegetation survey plots where leaf functional trait sampling occurred</w:t>
      </w:r>
      <w:r w:rsidR="0049492D">
        <w:rPr>
          <w:rFonts w:ascii="Times New Roman" w:hAnsi="Times New Roman" w:cs="Times New Roman"/>
          <w:sz w:val="24"/>
          <w:szCs w:val="24"/>
        </w:rPr>
        <w:t xml:space="preserve"> or, if absent, at the nearest point in space to the plo</w:t>
      </w:r>
      <w:r w:rsidR="00030A41">
        <w:rPr>
          <w:rFonts w:ascii="Times New Roman" w:hAnsi="Times New Roman" w:cs="Times New Roman"/>
          <w:sz w:val="24"/>
          <w:szCs w:val="24"/>
        </w:rPr>
        <w:t>t.</w:t>
      </w:r>
      <w:r w:rsidR="0049492D">
        <w:rPr>
          <w:rFonts w:ascii="Times New Roman" w:hAnsi="Times New Roman" w:cs="Times New Roman"/>
          <w:sz w:val="24"/>
          <w:szCs w:val="24"/>
        </w:rPr>
        <w:t xml:space="preserve"> </w:t>
      </w:r>
      <w:r w:rsidR="00262AB4">
        <w:rPr>
          <w:rFonts w:ascii="Times New Roman" w:hAnsi="Times New Roman" w:cs="Times New Roman"/>
          <w:sz w:val="24"/>
          <w:szCs w:val="24"/>
        </w:rPr>
        <w:t xml:space="preserve">Using species- and region-specific </w:t>
      </w:r>
      <w:r w:rsidR="00EF71B0">
        <w:rPr>
          <w:rFonts w:ascii="Times New Roman" w:hAnsi="Times New Roman" w:cs="Times New Roman"/>
          <w:sz w:val="24"/>
          <w:szCs w:val="24"/>
        </w:rPr>
        <w:t>allometric equations</w:t>
      </w:r>
      <w:r w:rsidR="00A87F0D">
        <w:rPr>
          <w:rFonts w:ascii="Times New Roman" w:hAnsi="Times New Roman" w:cs="Times New Roman"/>
          <w:sz w:val="24"/>
          <w:szCs w:val="24"/>
        </w:rPr>
        <w:t xml:space="preserve"> (Cooper et al. REF – see Max’s paper)</w:t>
      </w:r>
      <w:r w:rsidR="00262AB4">
        <w:rPr>
          <w:rFonts w:ascii="Times New Roman" w:hAnsi="Times New Roman" w:cs="Times New Roman"/>
          <w:sz w:val="24"/>
          <w:szCs w:val="24"/>
        </w:rPr>
        <w:t>, biomass</w:t>
      </w:r>
      <w:r w:rsidR="00A87F0D">
        <w:rPr>
          <w:rFonts w:ascii="Times New Roman" w:hAnsi="Times New Roman" w:cs="Times New Roman"/>
          <w:sz w:val="24"/>
          <w:szCs w:val="24"/>
        </w:rPr>
        <w:t xml:space="preserve"> increment</w:t>
      </w:r>
      <w:r w:rsidR="00262AB4">
        <w:rPr>
          <w:rFonts w:ascii="Times New Roman" w:hAnsi="Times New Roman" w:cs="Times New Roman"/>
          <w:sz w:val="24"/>
          <w:szCs w:val="24"/>
        </w:rPr>
        <w:t xml:space="preserve"> was inferred for each stem </w:t>
      </w:r>
      <w:r w:rsidR="00A87F0D">
        <w:rPr>
          <w:rFonts w:ascii="Times New Roman" w:hAnsi="Times New Roman" w:cs="Times New Roman"/>
          <w:sz w:val="24"/>
          <w:szCs w:val="24"/>
        </w:rPr>
        <w:t xml:space="preserve">in each year, then multiplied by species-specific stem densities obtained through subplot stem surveys to obtain subplot-scale </w:t>
      </w:r>
      <w:proofErr w:type="spellStart"/>
      <w:r w:rsidR="00A87F0D">
        <w:rPr>
          <w:rFonts w:ascii="Times New Roman" w:hAnsi="Times New Roman" w:cs="Times New Roman"/>
          <w:sz w:val="24"/>
          <w:szCs w:val="24"/>
        </w:rPr>
        <w:t>ANPP</w:t>
      </w:r>
      <w:r w:rsidR="00A87F0D" w:rsidRPr="00A87F0D">
        <w:rPr>
          <w:rFonts w:ascii="Times New Roman" w:hAnsi="Times New Roman" w:cs="Times New Roman"/>
          <w:sz w:val="24"/>
          <w:szCs w:val="24"/>
          <w:vertAlign w:val="subscript"/>
        </w:rPr>
        <w:t>w</w:t>
      </w:r>
      <w:proofErr w:type="spellEnd"/>
      <w:r w:rsidR="00A87F0D">
        <w:rPr>
          <w:rFonts w:ascii="Times New Roman" w:hAnsi="Times New Roman" w:cs="Times New Roman"/>
          <w:sz w:val="24"/>
          <w:szCs w:val="24"/>
        </w:rPr>
        <w:t xml:space="preserve">. </w:t>
      </w:r>
    </w:p>
    <w:p w14:paraId="35DD9EBB" w14:textId="2A0EF2CA" w:rsidR="002B4CB8" w:rsidRPr="008F5863" w:rsidRDefault="008F5863" w:rsidP="00420FB9">
      <w:pPr>
        <w:spacing w:line="480" w:lineRule="auto"/>
        <w:rPr>
          <w:rFonts w:ascii="Times New Roman" w:hAnsi="Times New Roman" w:cs="Times New Roman"/>
          <w:i/>
          <w:iCs/>
          <w:sz w:val="24"/>
          <w:szCs w:val="24"/>
        </w:rPr>
      </w:pPr>
      <w:r w:rsidRPr="008F5863">
        <w:rPr>
          <w:rFonts w:ascii="Times New Roman" w:hAnsi="Times New Roman" w:cs="Times New Roman"/>
          <w:i/>
          <w:iCs/>
          <w:sz w:val="24"/>
          <w:szCs w:val="24"/>
        </w:rPr>
        <w:t>2.5 Statistical analysis</w:t>
      </w:r>
    </w:p>
    <w:p w14:paraId="1A84F990" w14:textId="2266AD06" w:rsidR="008F5863" w:rsidRDefault="00FF7CAD" w:rsidP="000A1B4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All statistical analysis was performed in the R environment for statistical computing (REF: R Core Team 2021). </w:t>
      </w:r>
      <w:r w:rsidR="008F5863">
        <w:rPr>
          <w:rFonts w:ascii="Times New Roman" w:hAnsi="Times New Roman" w:cs="Times New Roman"/>
          <w:sz w:val="24"/>
          <w:szCs w:val="24"/>
        </w:rPr>
        <w:t xml:space="preserve">To test relationships between </w:t>
      </w:r>
      <w:r w:rsidR="000861FC">
        <w:rPr>
          <w:rFonts w:ascii="Times New Roman" w:hAnsi="Times New Roman" w:cs="Times New Roman"/>
          <w:sz w:val="24"/>
          <w:szCs w:val="24"/>
        </w:rPr>
        <w:t xml:space="preserve">subplot </w:t>
      </w:r>
      <w:r w:rsidR="00583DCE">
        <w:rPr>
          <w:rFonts w:ascii="Times New Roman" w:hAnsi="Times New Roman" w:cs="Times New Roman"/>
          <w:sz w:val="24"/>
          <w:szCs w:val="24"/>
        </w:rPr>
        <w:t>CWM</w:t>
      </w:r>
      <w:r w:rsidR="000861FC">
        <w:rPr>
          <w:rFonts w:ascii="Times New Roman" w:hAnsi="Times New Roman" w:cs="Times New Roman"/>
          <w:sz w:val="24"/>
          <w:szCs w:val="24"/>
        </w:rPr>
        <w:t xml:space="preserve"> </w:t>
      </w:r>
      <w:r w:rsidR="008F5863">
        <w:rPr>
          <w:rFonts w:ascii="Times New Roman" w:hAnsi="Times New Roman" w:cs="Times New Roman"/>
          <w:sz w:val="24"/>
          <w:szCs w:val="24"/>
        </w:rPr>
        <w:t xml:space="preserve">leaf functional traits and disturbance severity, type, and </w:t>
      </w:r>
      <w:r w:rsidR="000861FC">
        <w:rPr>
          <w:rFonts w:ascii="Times New Roman" w:hAnsi="Times New Roman" w:cs="Times New Roman"/>
          <w:sz w:val="24"/>
          <w:szCs w:val="24"/>
        </w:rPr>
        <w:t>time</w:t>
      </w:r>
      <w:r w:rsidR="008F5863">
        <w:rPr>
          <w:rFonts w:ascii="Times New Roman" w:hAnsi="Times New Roman" w:cs="Times New Roman"/>
          <w:sz w:val="24"/>
          <w:szCs w:val="24"/>
        </w:rPr>
        <w:t>, we used split-split plot mixed effects ANOVA with experimental replicate as a blocking factor</w:t>
      </w:r>
      <w:r w:rsidR="00C5103A">
        <w:rPr>
          <w:rFonts w:ascii="Times New Roman" w:hAnsi="Times New Roman" w:cs="Times New Roman"/>
          <w:sz w:val="24"/>
          <w:szCs w:val="24"/>
        </w:rPr>
        <w:t xml:space="preserve">, similar in design to those used in first-year </w:t>
      </w:r>
      <w:proofErr w:type="spellStart"/>
      <w:r w:rsidR="00C5103A">
        <w:rPr>
          <w:rFonts w:ascii="Times New Roman" w:hAnsi="Times New Roman" w:cs="Times New Roman"/>
          <w:sz w:val="24"/>
          <w:szCs w:val="24"/>
        </w:rPr>
        <w:t>FoRTE</w:t>
      </w:r>
      <w:proofErr w:type="spellEnd"/>
      <w:r w:rsidR="00C5103A">
        <w:rPr>
          <w:rFonts w:ascii="Times New Roman" w:hAnsi="Times New Roman" w:cs="Times New Roman"/>
          <w:sz w:val="24"/>
          <w:szCs w:val="24"/>
        </w:rPr>
        <w:t xml:space="preserve"> analyses (Gough et al 2020, Grigri et al 2020)</w:t>
      </w:r>
      <w:r w:rsidR="008F5863">
        <w:rPr>
          <w:rFonts w:ascii="Times New Roman" w:hAnsi="Times New Roman" w:cs="Times New Roman"/>
          <w:sz w:val="24"/>
          <w:szCs w:val="24"/>
        </w:rPr>
        <w:t>. In these models, disturbance severity was the fully randomized whole-plot factor while treatment type (bottom-up or top-down) was the restrictively randomized split-plot factor</w:t>
      </w:r>
      <w:r w:rsidR="00730495">
        <w:rPr>
          <w:rFonts w:ascii="Times New Roman" w:hAnsi="Times New Roman" w:cs="Times New Roman"/>
          <w:sz w:val="24"/>
          <w:szCs w:val="24"/>
        </w:rPr>
        <w:t>. In addition to treatment, time (as year) could not be fully randomized within blocks and was treated as the split-split plot factor in the models. Pair-wise post-hoc comparisons using Fisher’s LSD</w:t>
      </w:r>
      <w:r>
        <w:rPr>
          <w:rFonts w:ascii="Times New Roman" w:hAnsi="Times New Roman" w:cs="Times New Roman"/>
          <w:sz w:val="24"/>
          <w:szCs w:val="24"/>
        </w:rPr>
        <w:t xml:space="preserve"> in R package </w:t>
      </w:r>
      <w:proofErr w:type="spellStart"/>
      <w:r w:rsidRPr="00FF7CAD">
        <w:rPr>
          <w:rFonts w:ascii="Times New Roman" w:hAnsi="Times New Roman" w:cs="Times New Roman"/>
          <w:i/>
          <w:iCs/>
          <w:sz w:val="24"/>
          <w:szCs w:val="24"/>
        </w:rPr>
        <w:t>agricolae</w:t>
      </w:r>
      <w:proofErr w:type="spellEnd"/>
      <w:r>
        <w:rPr>
          <w:rFonts w:ascii="Times New Roman" w:hAnsi="Times New Roman" w:cs="Times New Roman"/>
          <w:sz w:val="24"/>
          <w:szCs w:val="24"/>
        </w:rPr>
        <w:t xml:space="preserve"> (REF)</w:t>
      </w:r>
      <w:r w:rsidR="00730495">
        <w:rPr>
          <w:rFonts w:ascii="Times New Roman" w:hAnsi="Times New Roman" w:cs="Times New Roman"/>
          <w:sz w:val="24"/>
          <w:szCs w:val="24"/>
        </w:rPr>
        <w:t xml:space="preserve"> were tested at alpha = 0.05 where significant effects were found</w:t>
      </w:r>
      <w:r w:rsidR="00A846C2">
        <w:rPr>
          <w:rFonts w:ascii="Times New Roman" w:hAnsi="Times New Roman" w:cs="Times New Roman"/>
          <w:sz w:val="24"/>
          <w:szCs w:val="24"/>
        </w:rPr>
        <w:t xml:space="preserve">, with </w:t>
      </w:r>
      <w:r w:rsidR="00A846C2" w:rsidRPr="00A846C2">
        <w:rPr>
          <w:rFonts w:ascii="Times New Roman" w:hAnsi="Times New Roman" w:cs="Times New Roman"/>
          <w:i/>
          <w:iCs/>
          <w:sz w:val="24"/>
          <w:szCs w:val="24"/>
        </w:rPr>
        <w:t>a priori</w:t>
      </w:r>
      <w:r w:rsidR="00A846C2">
        <w:rPr>
          <w:rFonts w:ascii="Times New Roman" w:hAnsi="Times New Roman" w:cs="Times New Roman"/>
          <w:sz w:val="24"/>
          <w:szCs w:val="24"/>
        </w:rPr>
        <w:t xml:space="preserve"> expectations about the direction of change articulated in our hypotheses</w:t>
      </w:r>
      <w:r w:rsidR="00730495">
        <w:rPr>
          <w:rFonts w:ascii="Times New Roman" w:hAnsi="Times New Roman" w:cs="Times New Roman"/>
          <w:sz w:val="24"/>
          <w:szCs w:val="24"/>
        </w:rPr>
        <w:t xml:space="preserve">. </w:t>
      </w:r>
      <w:r w:rsidR="000861FC">
        <w:rPr>
          <w:rFonts w:ascii="Times New Roman" w:hAnsi="Times New Roman" w:cs="Times New Roman"/>
          <w:sz w:val="24"/>
          <w:szCs w:val="24"/>
        </w:rPr>
        <w:t>While three of four leaf functional traits satisfied the assumptions of normality and homogeneous variance</w:t>
      </w:r>
      <w:r w:rsidR="002C1FED">
        <w:rPr>
          <w:rFonts w:ascii="Times New Roman" w:hAnsi="Times New Roman" w:cs="Times New Roman"/>
          <w:sz w:val="24"/>
          <w:szCs w:val="24"/>
        </w:rPr>
        <w:t xml:space="preserve"> required for ANOVA</w:t>
      </w:r>
      <w:r w:rsidR="005E469A">
        <w:rPr>
          <w:rFonts w:ascii="Times New Roman" w:hAnsi="Times New Roman" w:cs="Times New Roman"/>
          <w:sz w:val="24"/>
          <w:szCs w:val="24"/>
        </w:rPr>
        <w:t xml:space="preserve">, </w:t>
      </w:r>
      <w:r w:rsidR="002C1FED">
        <w:rPr>
          <w:rFonts w:ascii="Times New Roman" w:hAnsi="Times New Roman" w:cs="Times New Roman"/>
          <w:sz w:val="24"/>
          <w:szCs w:val="24"/>
        </w:rPr>
        <w:t>leaf mass per area (LMA) followed a right-skewed distribution typical for this variable in mixed hardwood-conifer forests (REF) and was transformed via 1/x transformation before running the analysis.</w:t>
      </w:r>
    </w:p>
    <w:p w14:paraId="6DCF4AB0" w14:textId="51DDE7DD" w:rsidR="00403DD0" w:rsidRDefault="002C1FED" w:rsidP="00420FB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w:t>
      </w:r>
      <w:r w:rsidR="008C321C">
        <w:rPr>
          <w:rFonts w:ascii="Times New Roman" w:hAnsi="Times New Roman" w:cs="Times New Roman"/>
          <w:sz w:val="24"/>
          <w:szCs w:val="24"/>
        </w:rPr>
        <w:t>remainder of our</w:t>
      </w:r>
      <w:r>
        <w:rPr>
          <w:rFonts w:ascii="Times New Roman" w:hAnsi="Times New Roman" w:cs="Times New Roman"/>
          <w:sz w:val="24"/>
          <w:szCs w:val="24"/>
        </w:rPr>
        <w:t xml:space="preserve"> analysis entailed the use of linear mixed effects models to assess the relationships between canopy structure (as VAI),</w:t>
      </w:r>
      <w:r w:rsidR="00A846C2">
        <w:rPr>
          <w:rFonts w:ascii="Times New Roman" w:hAnsi="Times New Roman" w:cs="Times New Roman"/>
          <w:sz w:val="24"/>
          <w:szCs w:val="24"/>
        </w:rPr>
        <w:t xml:space="preserve"> subcanopy </w:t>
      </w:r>
      <w:proofErr w:type="spellStart"/>
      <w:r w:rsidR="00A846C2">
        <w:rPr>
          <w:rFonts w:ascii="Times New Roman" w:hAnsi="Times New Roman" w:cs="Times New Roman"/>
          <w:sz w:val="24"/>
          <w:szCs w:val="24"/>
        </w:rPr>
        <w:t>ANPP</w:t>
      </w:r>
      <w:r w:rsidR="00A846C2" w:rsidRPr="00A846C2">
        <w:rPr>
          <w:rFonts w:ascii="Times New Roman" w:hAnsi="Times New Roman" w:cs="Times New Roman"/>
          <w:sz w:val="24"/>
          <w:szCs w:val="24"/>
          <w:vertAlign w:val="subscript"/>
        </w:rPr>
        <w:t>w</w:t>
      </w:r>
      <w:proofErr w:type="spellEnd"/>
      <w:r w:rsidR="00A846C2" w:rsidRPr="00A846C2">
        <w:rPr>
          <w:rFonts w:ascii="Times New Roman" w:hAnsi="Times New Roman" w:cs="Times New Roman"/>
          <w:sz w:val="24"/>
          <w:szCs w:val="24"/>
        </w:rPr>
        <w:t>,</w:t>
      </w:r>
      <w:r w:rsidR="00A846C2">
        <w:rPr>
          <w:rFonts w:ascii="Times New Roman" w:hAnsi="Times New Roman" w:cs="Times New Roman"/>
          <w:sz w:val="24"/>
          <w:szCs w:val="24"/>
        </w:rPr>
        <w:t xml:space="preserve"> </w:t>
      </w:r>
      <w:r w:rsidR="00F6421F">
        <w:rPr>
          <w:rFonts w:ascii="Times New Roman" w:hAnsi="Times New Roman" w:cs="Times New Roman"/>
          <w:sz w:val="24"/>
          <w:szCs w:val="24"/>
        </w:rPr>
        <w:t>disturbance severity, time, and leaf functional traits</w:t>
      </w:r>
      <w:r w:rsidR="0076379E">
        <w:rPr>
          <w:rFonts w:ascii="Times New Roman" w:hAnsi="Times New Roman" w:cs="Times New Roman"/>
          <w:sz w:val="24"/>
          <w:szCs w:val="24"/>
        </w:rPr>
        <w:t>. Linear mixed effects models</w:t>
      </w:r>
      <w:r w:rsidR="00583DCE">
        <w:rPr>
          <w:rFonts w:ascii="Times New Roman" w:hAnsi="Times New Roman" w:cs="Times New Roman"/>
          <w:sz w:val="24"/>
          <w:szCs w:val="24"/>
        </w:rPr>
        <w:t xml:space="preserve"> were selected for this analysis because of their applicability to hierarchical</w:t>
      </w:r>
      <w:r w:rsidR="00E763BF">
        <w:rPr>
          <w:rFonts w:ascii="Times New Roman" w:hAnsi="Times New Roman" w:cs="Times New Roman"/>
          <w:sz w:val="24"/>
          <w:szCs w:val="24"/>
        </w:rPr>
        <w:t>ly structured</w:t>
      </w:r>
      <w:r w:rsidR="00583DCE">
        <w:rPr>
          <w:rFonts w:ascii="Times New Roman" w:hAnsi="Times New Roman" w:cs="Times New Roman"/>
          <w:sz w:val="24"/>
          <w:szCs w:val="24"/>
        </w:rPr>
        <w:t xml:space="preserve"> data, as well as their capabilities in handling missing outcome values and nonnormally distributed variables</w:t>
      </w:r>
      <w:r w:rsidR="00F6421F">
        <w:rPr>
          <w:rFonts w:ascii="Times New Roman" w:hAnsi="Times New Roman" w:cs="Times New Roman"/>
          <w:sz w:val="24"/>
          <w:szCs w:val="24"/>
        </w:rPr>
        <w:t xml:space="preserve">. </w:t>
      </w:r>
      <w:r>
        <w:rPr>
          <w:rFonts w:ascii="Times New Roman" w:hAnsi="Times New Roman" w:cs="Times New Roman"/>
          <w:sz w:val="24"/>
          <w:szCs w:val="24"/>
        </w:rPr>
        <w:t>All models</w:t>
      </w:r>
      <w:r w:rsidR="00720931">
        <w:rPr>
          <w:rFonts w:ascii="Times New Roman" w:hAnsi="Times New Roman" w:cs="Times New Roman"/>
          <w:sz w:val="24"/>
          <w:szCs w:val="24"/>
        </w:rPr>
        <w:t xml:space="preserve"> and summary tables</w:t>
      </w:r>
      <w:r>
        <w:rPr>
          <w:rFonts w:ascii="Times New Roman" w:hAnsi="Times New Roman" w:cs="Times New Roman"/>
          <w:sz w:val="24"/>
          <w:szCs w:val="24"/>
        </w:rPr>
        <w:t xml:space="preserve"> were generated using R package</w:t>
      </w:r>
      <w:r w:rsidR="00720931">
        <w:rPr>
          <w:rFonts w:ascii="Times New Roman" w:hAnsi="Times New Roman" w:cs="Times New Roman"/>
          <w:sz w:val="24"/>
          <w:szCs w:val="24"/>
        </w:rPr>
        <w:t>s</w:t>
      </w:r>
      <w:r>
        <w:rPr>
          <w:rFonts w:ascii="Times New Roman" w:hAnsi="Times New Roman" w:cs="Times New Roman"/>
          <w:sz w:val="24"/>
          <w:szCs w:val="24"/>
        </w:rPr>
        <w:t xml:space="preserve"> </w:t>
      </w:r>
      <w:r w:rsidRPr="00980FE4">
        <w:rPr>
          <w:rFonts w:ascii="Times New Roman" w:hAnsi="Times New Roman" w:cs="Times New Roman"/>
          <w:i/>
          <w:iCs/>
          <w:sz w:val="24"/>
          <w:szCs w:val="24"/>
        </w:rPr>
        <w:t>lme4</w:t>
      </w:r>
      <w:r>
        <w:rPr>
          <w:rFonts w:ascii="Times New Roman" w:hAnsi="Times New Roman" w:cs="Times New Roman"/>
          <w:sz w:val="24"/>
          <w:szCs w:val="24"/>
        </w:rPr>
        <w:t xml:space="preserve"> (REF</w:t>
      </w:r>
      <w:r w:rsidR="00720931">
        <w:rPr>
          <w:rFonts w:ascii="Times New Roman" w:hAnsi="Times New Roman" w:cs="Times New Roman"/>
          <w:sz w:val="24"/>
          <w:szCs w:val="24"/>
        </w:rPr>
        <w:t>: Bates et al</w:t>
      </w:r>
      <w:r>
        <w:rPr>
          <w:rFonts w:ascii="Times New Roman" w:hAnsi="Times New Roman" w:cs="Times New Roman"/>
          <w:sz w:val="24"/>
          <w:szCs w:val="24"/>
        </w:rPr>
        <w:t xml:space="preserve">) and </w:t>
      </w:r>
      <w:proofErr w:type="spellStart"/>
      <w:r w:rsidR="00720931" w:rsidRPr="00720931">
        <w:rPr>
          <w:rFonts w:ascii="Times New Roman" w:hAnsi="Times New Roman" w:cs="Times New Roman"/>
          <w:i/>
          <w:iCs/>
          <w:sz w:val="24"/>
          <w:szCs w:val="24"/>
        </w:rPr>
        <w:t>lmerTest</w:t>
      </w:r>
      <w:proofErr w:type="spellEnd"/>
      <w:r w:rsidR="00720931">
        <w:rPr>
          <w:rFonts w:ascii="Times New Roman" w:hAnsi="Times New Roman" w:cs="Times New Roman"/>
          <w:sz w:val="24"/>
          <w:szCs w:val="24"/>
        </w:rPr>
        <w:t xml:space="preserve"> (REF</w:t>
      </w:r>
      <w:proofErr w:type="gramStart"/>
      <w:r w:rsidR="00720931">
        <w:rPr>
          <w:rFonts w:ascii="Times New Roman" w:hAnsi="Times New Roman" w:cs="Times New Roman"/>
          <w:sz w:val="24"/>
          <w:szCs w:val="24"/>
        </w:rPr>
        <w:t>: )</w:t>
      </w:r>
      <w:proofErr w:type="gramEnd"/>
      <w:r w:rsidR="00720931">
        <w:rPr>
          <w:rFonts w:ascii="Times New Roman" w:hAnsi="Times New Roman" w:cs="Times New Roman"/>
          <w:sz w:val="24"/>
          <w:szCs w:val="24"/>
        </w:rPr>
        <w:t xml:space="preserve"> using restricted maximum likelihood (REML) criteria and the Satterthwaite </w:t>
      </w:r>
      <w:r w:rsidR="002B2737">
        <w:rPr>
          <w:rFonts w:ascii="Times New Roman" w:hAnsi="Times New Roman" w:cs="Times New Roman"/>
          <w:sz w:val="24"/>
          <w:szCs w:val="24"/>
        </w:rPr>
        <w:t>method for t-tests</w:t>
      </w:r>
      <w:r w:rsidR="00720931">
        <w:rPr>
          <w:rFonts w:ascii="Times New Roman" w:hAnsi="Times New Roman" w:cs="Times New Roman"/>
          <w:sz w:val="24"/>
          <w:szCs w:val="24"/>
        </w:rPr>
        <w:t xml:space="preserve"> </w:t>
      </w:r>
      <w:r w:rsidR="009A5073">
        <w:rPr>
          <w:rFonts w:ascii="Times New Roman" w:hAnsi="Times New Roman" w:cs="Times New Roman"/>
          <w:sz w:val="24"/>
          <w:szCs w:val="24"/>
        </w:rPr>
        <w:t>(REF</w:t>
      </w:r>
      <w:r w:rsidR="002B2737">
        <w:rPr>
          <w:rFonts w:ascii="Times New Roman" w:hAnsi="Times New Roman" w:cs="Times New Roman"/>
          <w:sz w:val="24"/>
          <w:szCs w:val="24"/>
        </w:rPr>
        <w:t xml:space="preserve">: </w:t>
      </w:r>
      <w:r w:rsidR="009A5073">
        <w:rPr>
          <w:rFonts w:ascii="Times New Roman" w:hAnsi="Times New Roman" w:cs="Times New Roman"/>
          <w:sz w:val="24"/>
          <w:szCs w:val="24"/>
        </w:rPr>
        <w:t>)</w:t>
      </w:r>
      <w:r w:rsidR="00720931">
        <w:rPr>
          <w:rFonts w:ascii="Times New Roman" w:hAnsi="Times New Roman" w:cs="Times New Roman"/>
          <w:sz w:val="24"/>
          <w:szCs w:val="24"/>
        </w:rPr>
        <w:t xml:space="preserve">. </w:t>
      </w:r>
      <w:r w:rsidR="00720931" w:rsidRPr="00FA7A0B">
        <w:rPr>
          <w:rFonts w:ascii="Times New Roman" w:hAnsi="Times New Roman" w:cs="Times New Roman"/>
          <w:sz w:val="24"/>
          <w:szCs w:val="24"/>
        </w:rPr>
        <w:t>T</w:t>
      </w:r>
      <w:r w:rsidR="00F6421F" w:rsidRPr="00FA7A0B">
        <w:rPr>
          <w:rFonts w:ascii="Times New Roman" w:hAnsi="Times New Roman" w:cs="Times New Roman"/>
          <w:sz w:val="24"/>
          <w:szCs w:val="24"/>
        </w:rPr>
        <w:t>he best c</w:t>
      </w:r>
      <w:r w:rsidRPr="00FA7A0B">
        <w:rPr>
          <w:rFonts w:ascii="Times New Roman" w:hAnsi="Times New Roman" w:cs="Times New Roman"/>
          <w:sz w:val="24"/>
          <w:szCs w:val="24"/>
        </w:rPr>
        <w:t xml:space="preserve">andidate models were </w:t>
      </w:r>
      <w:r w:rsidR="00F6421F" w:rsidRPr="00FA7A0B">
        <w:rPr>
          <w:rFonts w:ascii="Times New Roman" w:hAnsi="Times New Roman" w:cs="Times New Roman"/>
          <w:sz w:val="24"/>
          <w:szCs w:val="24"/>
        </w:rPr>
        <w:t>selected using the</w:t>
      </w:r>
      <w:r w:rsidR="009A5073">
        <w:rPr>
          <w:rFonts w:ascii="Times New Roman" w:hAnsi="Times New Roman" w:cs="Times New Roman"/>
          <w:sz w:val="24"/>
          <w:szCs w:val="24"/>
        </w:rPr>
        <w:t xml:space="preserve"> second-order</w:t>
      </w:r>
      <w:r w:rsidR="00F6421F" w:rsidRPr="00FA7A0B">
        <w:rPr>
          <w:rFonts w:ascii="Times New Roman" w:hAnsi="Times New Roman" w:cs="Times New Roman"/>
          <w:sz w:val="24"/>
          <w:szCs w:val="24"/>
        </w:rPr>
        <w:t xml:space="preserve"> Akaike </w:t>
      </w:r>
      <w:r w:rsidR="00980FE4" w:rsidRPr="00FA7A0B">
        <w:rPr>
          <w:rFonts w:ascii="Times New Roman" w:hAnsi="Times New Roman" w:cs="Times New Roman"/>
          <w:sz w:val="24"/>
          <w:szCs w:val="24"/>
        </w:rPr>
        <w:t>i</w:t>
      </w:r>
      <w:r w:rsidR="00F6421F" w:rsidRPr="00FA7A0B">
        <w:rPr>
          <w:rFonts w:ascii="Times New Roman" w:hAnsi="Times New Roman" w:cs="Times New Roman"/>
          <w:sz w:val="24"/>
          <w:szCs w:val="24"/>
        </w:rPr>
        <w:t xml:space="preserve">nformation </w:t>
      </w:r>
      <w:r w:rsidR="00980FE4" w:rsidRPr="00FA7A0B">
        <w:rPr>
          <w:rFonts w:ascii="Times New Roman" w:hAnsi="Times New Roman" w:cs="Times New Roman"/>
          <w:sz w:val="24"/>
          <w:szCs w:val="24"/>
        </w:rPr>
        <w:t>c</w:t>
      </w:r>
      <w:r w:rsidR="00F6421F" w:rsidRPr="00FA7A0B">
        <w:rPr>
          <w:rFonts w:ascii="Times New Roman" w:hAnsi="Times New Roman" w:cs="Times New Roman"/>
          <w:sz w:val="24"/>
          <w:szCs w:val="24"/>
        </w:rPr>
        <w:t>riterion</w:t>
      </w:r>
      <w:r w:rsidR="00A846C2">
        <w:rPr>
          <w:rFonts w:ascii="Times New Roman" w:hAnsi="Times New Roman" w:cs="Times New Roman"/>
          <w:sz w:val="24"/>
          <w:szCs w:val="24"/>
        </w:rPr>
        <w:t xml:space="preserve"> suitable for small sample sizes</w:t>
      </w:r>
      <w:r w:rsidR="00F6421F" w:rsidRPr="00FA7A0B">
        <w:rPr>
          <w:rFonts w:ascii="Times New Roman" w:hAnsi="Times New Roman" w:cs="Times New Roman"/>
          <w:sz w:val="24"/>
          <w:szCs w:val="24"/>
        </w:rPr>
        <w:t xml:space="preserve"> (</w:t>
      </w:r>
      <w:proofErr w:type="spellStart"/>
      <w:r w:rsidR="00F6421F" w:rsidRPr="00FA7A0B">
        <w:rPr>
          <w:rFonts w:ascii="Times New Roman" w:hAnsi="Times New Roman" w:cs="Times New Roman"/>
          <w:sz w:val="24"/>
          <w:szCs w:val="24"/>
        </w:rPr>
        <w:t>AIC</w:t>
      </w:r>
      <w:r w:rsidR="009A5073" w:rsidRPr="00E763BF">
        <w:rPr>
          <w:rFonts w:ascii="Times New Roman" w:hAnsi="Times New Roman" w:cs="Times New Roman"/>
          <w:sz w:val="24"/>
          <w:szCs w:val="24"/>
        </w:rPr>
        <w:t>c</w:t>
      </w:r>
      <w:proofErr w:type="spellEnd"/>
      <w:r w:rsidR="00F6421F" w:rsidRPr="00FA7A0B">
        <w:rPr>
          <w:rFonts w:ascii="Times New Roman" w:hAnsi="Times New Roman" w:cs="Times New Roman"/>
          <w:sz w:val="24"/>
          <w:szCs w:val="24"/>
        </w:rPr>
        <w:t xml:space="preserve">; </w:t>
      </w:r>
      <w:r w:rsidR="00E763BF">
        <w:rPr>
          <w:rFonts w:ascii="Times New Roman" w:hAnsi="Times New Roman" w:cs="Times New Roman"/>
          <w:sz w:val="24"/>
          <w:szCs w:val="24"/>
        </w:rPr>
        <w:t>Burnham &amp; Anderson 2002</w:t>
      </w:r>
      <w:r w:rsidR="00F6421F" w:rsidRPr="00FA7A0B">
        <w:rPr>
          <w:rFonts w:ascii="Times New Roman" w:hAnsi="Times New Roman" w:cs="Times New Roman"/>
          <w:sz w:val="24"/>
          <w:szCs w:val="24"/>
        </w:rPr>
        <w:t>)</w:t>
      </w:r>
      <w:r w:rsidR="00C43EA9">
        <w:rPr>
          <w:rFonts w:ascii="Times New Roman" w:hAnsi="Times New Roman" w:cs="Times New Roman"/>
          <w:sz w:val="24"/>
          <w:szCs w:val="24"/>
        </w:rPr>
        <w:t xml:space="preserve">, computed with R package </w:t>
      </w:r>
      <w:proofErr w:type="spellStart"/>
      <w:r w:rsidR="00C43EA9" w:rsidRPr="00C43EA9">
        <w:rPr>
          <w:rFonts w:ascii="Times New Roman" w:hAnsi="Times New Roman" w:cs="Times New Roman"/>
          <w:i/>
          <w:iCs/>
          <w:sz w:val="24"/>
          <w:szCs w:val="24"/>
        </w:rPr>
        <w:t>MuMIn</w:t>
      </w:r>
      <w:proofErr w:type="spellEnd"/>
      <w:r w:rsidR="00C43EA9" w:rsidRPr="00C43EA9">
        <w:rPr>
          <w:rFonts w:ascii="Times New Roman" w:hAnsi="Times New Roman" w:cs="Times New Roman"/>
          <w:i/>
          <w:iCs/>
          <w:sz w:val="24"/>
          <w:szCs w:val="24"/>
        </w:rPr>
        <w:t xml:space="preserve"> </w:t>
      </w:r>
      <w:r w:rsidR="00C43EA9">
        <w:rPr>
          <w:rFonts w:ascii="Times New Roman" w:hAnsi="Times New Roman" w:cs="Times New Roman"/>
          <w:sz w:val="24"/>
          <w:szCs w:val="24"/>
        </w:rPr>
        <w:t>(REF)</w:t>
      </w:r>
      <w:r w:rsidR="00F6421F" w:rsidRPr="00FA7A0B">
        <w:rPr>
          <w:rFonts w:ascii="Times New Roman" w:hAnsi="Times New Roman" w:cs="Times New Roman"/>
          <w:sz w:val="24"/>
          <w:szCs w:val="24"/>
        </w:rPr>
        <w:t>. I</w:t>
      </w:r>
      <w:r w:rsidR="00F6421F">
        <w:rPr>
          <w:rFonts w:ascii="Times New Roman" w:hAnsi="Times New Roman" w:cs="Times New Roman"/>
          <w:sz w:val="24"/>
          <w:szCs w:val="24"/>
        </w:rPr>
        <w:t>n the</w:t>
      </w:r>
      <w:r w:rsidR="00A846C2">
        <w:rPr>
          <w:rFonts w:ascii="Times New Roman" w:hAnsi="Times New Roman" w:cs="Times New Roman"/>
          <w:sz w:val="24"/>
          <w:szCs w:val="24"/>
        </w:rPr>
        <w:t>se</w:t>
      </w:r>
      <w:r w:rsidR="00F6421F">
        <w:rPr>
          <w:rFonts w:ascii="Times New Roman" w:hAnsi="Times New Roman" w:cs="Times New Roman"/>
          <w:sz w:val="24"/>
          <w:szCs w:val="24"/>
        </w:rPr>
        <w:t xml:space="preserve"> models, VAI, year, and their interaction were treated as fixed effects with regression coefficients of interest, while replicate was included as a random effect. </w:t>
      </w:r>
      <w:r w:rsidR="00FB7E91">
        <w:rPr>
          <w:rFonts w:ascii="Times New Roman" w:hAnsi="Times New Roman" w:cs="Times New Roman"/>
          <w:sz w:val="24"/>
          <w:szCs w:val="24"/>
        </w:rPr>
        <w:t xml:space="preserve">Because there is no assumption of a Gaussian distribution for outcome variables </w:t>
      </w:r>
      <w:r w:rsidR="00594DD3">
        <w:rPr>
          <w:rFonts w:ascii="Times New Roman" w:hAnsi="Times New Roman" w:cs="Times New Roman"/>
          <w:sz w:val="24"/>
          <w:szCs w:val="24"/>
        </w:rPr>
        <w:t xml:space="preserve">in linear mixed effects models, we did not transform LMA </w:t>
      </w:r>
      <w:r w:rsidR="00403DD0">
        <w:rPr>
          <w:rFonts w:ascii="Times New Roman" w:hAnsi="Times New Roman" w:cs="Times New Roman"/>
          <w:sz w:val="24"/>
          <w:szCs w:val="24"/>
        </w:rPr>
        <w:t>for this analysis.</w:t>
      </w:r>
      <w:r w:rsidR="002B2737">
        <w:rPr>
          <w:rFonts w:ascii="Times New Roman" w:hAnsi="Times New Roman" w:cs="Times New Roman"/>
          <w:sz w:val="24"/>
          <w:szCs w:val="24"/>
        </w:rPr>
        <w:t xml:space="preserve"> Post hoc comparisons of regression slopes were performed using R package </w:t>
      </w:r>
      <w:proofErr w:type="spellStart"/>
      <w:r w:rsidR="002B2737" w:rsidRPr="002B2737">
        <w:rPr>
          <w:rFonts w:ascii="Times New Roman" w:hAnsi="Times New Roman" w:cs="Times New Roman"/>
          <w:i/>
          <w:iCs/>
          <w:sz w:val="24"/>
          <w:szCs w:val="24"/>
        </w:rPr>
        <w:t>emmeans</w:t>
      </w:r>
      <w:proofErr w:type="spellEnd"/>
      <w:r w:rsidR="002B2737">
        <w:rPr>
          <w:rFonts w:ascii="Times New Roman" w:hAnsi="Times New Roman" w:cs="Times New Roman"/>
          <w:sz w:val="24"/>
          <w:szCs w:val="24"/>
        </w:rPr>
        <w:t xml:space="preserve"> (REF</w:t>
      </w:r>
      <w:proofErr w:type="gramStart"/>
      <w:r w:rsidR="002B2737">
        <w:rPr>
          <w:rFonts w:ascii="Times New Roman" w:hAnsi="Times New Roman" w:cs="Times New Roman"/>
          <w:sz w:val="24"/>
          <w:szCs w:val="24"/>
        </w:rPr>
        <w:t>: )</w:t>
      </w:r>
      <w:proofErr w:type="gramEnd"/>
      <w:r w:rsidR="00236F48">
        <w:rPr>
          <w:rFonts w:ascii="Times New Roman" w:hAnsi="Times New Roman" w:cs="Times New Roman"/>
          <w:sz w:val="24"/>
          <w:szCs w:val="24"/>
        </w:rPr>
        <w:t>.</w:t>
      </w:r>
    </w:p>
    <w:p w14:paraId="18C645C1" w14:textId="65F851FF" w:rsidR="002B4CB8" w:rsidRPr="00A95539" w:rsidRDefault="0014254D" w:rsidP="00420FB9">
      <w:pPr>
        <w:spacing w:line="480" w:lineRule="auto"/>
        <w:rPr>
          <w:rFonts w:ascii="Times New Roman" w:hAnsi="Times New Roman" w:cs="Times New Roman"/>
          <w:b/>
          <w:bCs/>
          <w:sz w:val="24"/>
          <w:szCs w:val="24"/>
        </w:rPr>
      </w:pPr>
      <w:r w:rsidRPr="00A95539">
        <w:rPr>
          <w:rFonts w:ascii="Times New Roman" w:hAnsi="Times New Roman" w:cs="Times New Roman"/>
          <w:b/>
          <w:bCs/>
          <w:sz w:val="24"/>
          <w:szCs w:val="24"/>
        </w:rPr>
        <w:t>3. Results</w:t>
      </w:r>
    </w:p>
    <w:p w14:paraId="026E8A38" w14:textId="43E67802" w:rsidR="00A95539" w:rsidRPr="00A95539" w:rsidRDefault="00A95539" w:rsidP="00420FB9">
      <w:pPr>
        <w:spacing w:line="480" w:lineRule="auto"/>
        <w:rPr>
          <w:rFonts w:ascii="Times New Roman" w:hAnsi="Times New Roman" w:cs="Times New Roman"/>
          <w:i/>
          <w:iCs/>
          <w:sz w:val="24"/>
          <w:szCs w:val="24"/>
        </w:rPr>
      </w:pPr>
      <w:r w:rsidRPr="00A95539">
        <w:rPr>
          <w:rFonts w:ascii="Times New Roman" w:hAnsi="Times New Roman" w:cs="Times New Roman"/>
          <w:i/>
          <w:iCs/>
          <w:sz w:val="24"/>
          <w:szCs w:val="24"/>
        </w:rPr>
        <w:t>3.1 Vegetation area index</w:t>
      </w:r>
      <w:r w:rsidR="00606F08">
        <w:rPr>
          <w:rFonts w:ascii="Times New Roman" w:hAnsi="Times New Roman" w:cs="Times New Roman"/>
          <w:i/>
          <w:iCs/>
          <w:sz w:val="24"/>
          <w:szCs w:val="24"/>
        </w:rPr>
        <w:t xml:space="preserve"> and disturbance</w:t>
      </w:r>
    </w:p>
    <w:p w14:paraId="5A3F068D" w14:textId="56E6E3B8" w:rsidR="000A276D" w:rsidRDefault="002015C8" w:rsidP="00D3586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Vegetation area index (VAI) was found to decline at the upper end of our experimental disturbance severity gradient by the third year following disturbance (Fig. </w:t>
      </w:r>
      <w:r w:rsidR="00FB081B">
        <w:rPr>
          <w:rFonts w:ascii="Times New Roman" w:hAnsi="Times New Roman" w:cs="Times New Roman"/>
          <w:sz w:val="24"/>
          <w:szCs w:val="24"/>
        </w:rPr>
        <w:t>2</w:t>
      </w:r>
      <w:r>
        <w:rPr>
          <w:rFonts w:ascii="Times New Roman" w:hAnsi="Times New Roman" w:cs="Times New Roman"/>
          <w:sz w:val="24"/>
          <w:szCs w:val="24"/>
        </w:rPr>
        <w:t xml:space="preserve">). </w:t>
      </w:r>
      <w:r w:rsidR="00CC3DD3">
        <w:rPr>
          <w:rFonts w:ascii="Times New Roman" w:hAnsi="Times New Roman" w:cs="Times New Roman"/>
          <w:sz w:val="24"/>
          <w:szCs w:val="24"/>
        </w:rPr>
        <w:t xml:space="preserve">Statistically significant interaction effects of </w:t>
      </w:r>
      <w:r w:rsidR="0042121F">
        <w:rPr>
          <w:rFonts w:ascii="Times New Roman" w:hAnsi="Times New Roman" w:cs="Times New Roman"/>
          <w:sz w:val="24"/>
          <w:szCs w:val="24"/>
        </w:rPr>
        <w:t xml:space="preserve">disturbance severity </w:t>
      </w:r>
      <w:r w:rsidR="00CC3DD3">
        <w:rPr>
          <w:rFonts w:ascii="Times New Roman" w:hAnsi="Times New Roman" w:cs="Times New Roman"/>
          <w:sz w:val="24"/>
          <w:szCs w:val="24"/>
        </w:rPr>
        <w:t xml:space="preserve">and </w:t>
      </w:r>
      <w:r w:rsidR="0042121F">
        <w:rPr>
          <w:rFonts w:ascii="Times New Roman" w:hAnsi="Times New Roman" w:cs="Times New Roman"/>
          <w:sz w:val="24"/>
          <w:szCs w:val="24"/>
        </w:rPr>
        <w:t>y</w:t>
      </w:r>
      <w:r w:rsidR="00CC3DD3">
        <w:rPr>
          <w:rFonts w:ascii="Times New Roman" w:hAnsi="Times New Roman" w:cs="Times New Roman"/>
          <w:sz w:val="24"/>
          <w:szCs w:val="24"/>
        </w:rPr>
        <w:t xml:space="preserve">ear were found </w:t>
      </w:r>
      <w:r w:rsidR="003B3B59">
        <w:rPr>
          <w:rFonts w:ascii="Times New Roman" w:hAnsi="Times New Roman" w:cs="Times New Roman"/>
          <w:sz w:val="24"/>
          <w:szCs w:val="24"/>
        </w:rPr>
        <w:t>in 2021</w:t>
      </w:r>
      <w:r w:rsidR="00DE0B29">
        <w:rPr>
          <w:rFonts w:ascii="Times New Roman" w:hAnsi="Times New Roman" w:cs="Times New Roman"/>
          <w:sz w:val="24"/>
          <w:szCs w:val="24"/>
        </w:rPr>
        <w:t xml:space="preserve"> only</w:t>
      </w:r>
      <w:r w:rsidR="003B3B59">
        <w:rPr>
          <w:rFonts w:ascii="Times New Roman" w:hAnsi="Times New Roman" w:cs="Times New Roman"/>
          <w:sz w:val="24"/>
          <w:szCs w:val="24"/>
        </w:rPr>
        <w:t xml:space="preserve"> at the 65 %</w:t>
      </w:r>
      <w:r w:rsidR="00FF7CAD">
        <w:rPr>
          <w:rFonts w:ascii="Times New Roman" w:hAnsi="Times New Roman" w:cs="Times New Roman"/>
          <w:sz w:val="24"/>
          <w:szCs w:val="24"/>
        </w:rPr>
        <w:t xml:space="preserve"> (</w:t>
      </w:r>
      <w:r w:rsidR="00FF7CAD" w:rsidRPr="00FF7CAD">
        <w:rPr>
          <w:rFonts w:ascii="Times New Roman" w:hAnsi="Times New Roman" w:cs="Times New Roman"/>
          <w:i/>
          <w:iCs/>
          <w:sz w:val="24"/>
          <w:szCs w:val="24"/>
        </w:rPr>
        <w:t xml:space="preserve">t </w:t>
      </w:r>
      <w:r w:rsidR="00FF7CAD">
        <w:rPr>
          <w:rFonts w:ascii="Times New Roman" w:hAnsi="Times New Roman" w:cs="Times New Roman"/>
          <w:sz w:val="24"/>
          <w:szCs w:val="24"/>
        </w:rPr>
        <w:t xml:space="preserve">= -2.47, </w:t>
      </w:r>
      <w:r w:rsidR="00FF7CAD" w:rsidRPr="00FF7CAD">
        <w:rPr>
          <w:rFonts w:ascii="Times New Roman" w:hAnsi="Times New Roman" w:cs="Times New Roman"/>
          <w:i/>
          <w:iCs/>
          <w:sz w:val="24"/>
          <w:szCs w:val="24"/>
        </w:rPr>
        <w:t>p</w:t>
      </w:r>
      <w:r w:rsidR="00FF7CAD">
        <w:rPr>
          <w:rFonts w:ascii="Times New Roman" w:hAnsi="Times New Roman" w:cs="Times New Roman"/>
          <w:sz w:val="24"/>
          <w:szCs w:val="24"/>
        </w:rPr>
        <w:t xml:space="preserve"> = 0.</w:t>
      </w:r>
      <w:r w:rsidR="0042121F">
        <w:rPr>
          <w:rFonts w:ascii="Times New Roman" w:hAnsi="Times New Roman" w:cs="Times New Roman"/>
          <w:sz w:val="24"/>
          <w:szCs w:val="24"/>
        </w:rPr>
        <w:t>015</w:t>
      </w:r>
      <w:r w:rsidR="00FF7CAD">
        <w:rPr>
          <w:rFonts w:ascii="Times New Roman" w:hAnsi="Times New Roman" w:cs="Times New Roman"/>
          <w:sz w:val="24"/>
          <w:szCs w:val="24"/>
        </w:rPr>
        <w:t>)</w:t>
      </w:r>
      <w:r w:rsidR="003B3B59">
        <w:rPr>
          <w:rFonts w:ascii="Times New Roman" w:hAnsi="Times New Roman" w:cs="Times New Roman"/>
          <w:sz w:val="24"/>
          <w:szCs w:val="24"/>
        </w:rPr>
        <w:t xml:space="preserve"> and 85 %</w:t>
      </w:r>
      <w:r w:rsidR="00FF7CAD">
        <w:rPr>
          <w:rFonts w:ascii="Times New Roman" w:hAnsi="Times New Roman" w:cs="Times New Roman"/>
          <w:sz w:val="24"/>
          <w:szCs w:val="24"/>
        </w:rPr>
        <w:t xml:space="preserve"> (</w:t>
      </w:r>
      <w:r w:rsidR="00FF7CAD" w:rsidRPr="00FF7CAD">
        <w:rPr>
          <w:rFonts w:ascii="Times New Roman" w:hAnsi="Times New Roman" w:cs="Times New Roman"/>
          <w:i/>
          <w:iCs/>
          <w:sz w:val="24"/>
          <w:szCs w:val="24"/>
        </w:rPr>
        <w:t>t</w:t>
      </w:r>
      <w:r w:rsidR="00FF7CAD">
        <w:rPr>
          <w:rFonts w:ascii="Times New Roman" w:hAnsi="Times New Roman" w:cs="Times New Roman"/>
          <w:sz w:val="24"/>
          <w:szCs w:val="24"/>
        </w:rPr>
        <w:t xml:space="preserve"> = -2.89, </w:t>
      </w:r>
      <w:r w:rsidR="00FF7CAD" w:rsidRPr="00FF7CAD">
        <w:rPr>
          <w:rFonts w:ascii="Times New Roman" w:hAnsi="Times New Roman" w:cs="Times New Roman"/>
          <w:i/>
          <w:iCs/>
          <w:sz w:val="24"/>
          <w:szCs w:val="24"/>
        </w:rPr>
        <w:t xml:space="preserve">p </w:t>
      </w:r>
      <w:r w:rsidR="00FF7CAD">
        <w:rPr>
          <w:rFonts w:ascii="Times New Roman" w:hAnsi="Times New Roman" w:cs="Times New Roman"/>
          <w:sz w:val="24"/>
          <w:szCs w:val="24"/>
        </w:rPr>
        <w:t>= 0.005)</w:t>
      </w:r>
      <w:r w:rsidR="003B3B59">
        <w:rPr>
          <w:rFonts w:ascii="Times New Roman" w:hAnsi="Times New Roman" w:cs="Times New Roman"/>
          <w:sz w:val="24"/>
          <w:szCs w:val="24"/>
        </w:rPr>
        <w:t xml:space="preserve"> severity levels</w:t>
      </w:r>
      <w:r w:rsidR="00E76505">
        <w:rPr>
          <w:rFonts w:ascii="Times New Roman" w:hAnsi="Times New Roman" w:cs="Times New Roman"/>
          <w:sz w:val="24"/>
          <w:szCs w:val="24"/>
        </w:rPr>
        <w:t>, indicating a temporally lagged effect of rising disturbance severity on canopy VAI</w:t>
      </w:r>
      <w:r w:rsidR="00DE0B29">
        <w:rPr>
          <w:rFonts w:ascii="Times New Roman" w:hAnsi="Times New Roman" w:cs="Times New Roman"/>
          <w:sz w:val="24"/>
          <w:szCs w:val="24"/>
        </w:rPr>
        <w:t>.</w:t>
      </w:r>
      <w:r w:rsidR="003B3B59">
        <w:rPr>
          <w:rFonts w:ascii="Times New Roman" w:hAnsi="Times New Roman" w:cs="Times New Roman"/>
          <w:sz w:val="24"/>
          <w:szCs w:val="24"/>
        </w:rPr>
        <w:t xml:space="preserve"> Additionally, we found that experimental replicate included as a random effect in the model contributed</w:t>
      </w:r>
      <w:r w:rsidR="0042121F">
        <w:rPr>
          <w:rFonts w:ascii="Times New Roman" w:hAnsi="Times New Roman" w:cs="Times New Roman"/>
          <w:sz w:val="24"/>
          <w:szCs w:val="24"/>
        </w:rPr>
        <w:t xml:space="preserve"> over half</w:t>
      </w:r>
      <w:r w:rsidR="003B3B59">
        <w:rPr>
          <w:rFonts w:ascii="Times New Roman" w:hAnsi="Times New Roman" w:cs="Times New Roman"/>
          <w:sz w:val="24"/>
          <w:szCs w:val="24"/>
        </w:rPr>
        <w:t xml:space="preserve"> </w:t>
      </w:r>
      <w:r w:rsidR="0042121F">
        <w:rPr>
          <w:rFonts w:ascii="Times New Roman" w:hAnsi="Times New Roman" w:cs="Times New Roman"/>
          <w:sz w:val="24"/>
          <w:szCs w:val="24"/>
        </w:rPr>
        <w:t>(</w:t>
      </w:r>
      <w:r w:rsidR="003B3B59">
        <w:rPr>
          <w:rFonts w:ascii="Times New Roman" w:hAnsi="Times New Roman" w:cs="Times New Roman"/>
          <w:sz w:val="24"/>
          <w:szCs w:val="24"/>
        </w:rPr>
        <w:t>53.5 %</w:t>
      </w:r>
      <w:r w:rsidR="0042121F">
        <w:rPr>
          <w:rFonts w:ascii="Times New Roman" w:hAnsi="Times New Roman" w:cs="Times New Roman"/>
          <w:sz w:val="24"/>
          <w:szCs w:val="24"/>
        </w:rPr>
        <w:t>)</w:t>
      </w:r>
      <w:r w:rsidR="003B3B59">
        <w:rPr>
          <w:rFonts w:ascii="Times New Roman" w:hAnsi="Times New Roman" w:cs="Times New Roman"/>
          <w:sz w:val="24"/>
          <w:szCs w:val="24"/>
        </w:rPr>
        <w:t xml:space="preserve"> of </w:t>
      </w:r>
      <w:r w:rsidR="003B3B59">
        <w:rPr>
          <w:rFonts w:ascii="Times New Roman" w:hAnsi="Times New Roman" w:cs="Times New Roman"/>
          <w:sz w:val="24"/>
          <w:szCs w:val="24"/>
        </w:rPr>
        <w:lastRenderedPageBreak/>
        <w:t>the total variance</w:t>
      </w:r>
      <w:r w:rsidR="00D35869">
        <w:rPr>
          <w:rFonts w:ascii="Times New Roman" w:hAnsi="Times New Roman" w:cs="Times New Roman"/>
          <w:sz w:val="24"/>
          <w:szCs w:val="24"/>
        </w:rPr>
        <w:t xml:space="preserve">, </w:t>
      </w:r>
      <w:r w:rsidR="00E76505">
        <w:rPr>
          <w:rFonts w:ascii="Times New Roman" w:hAnsi="Times New Roman" w:cs="Times New Roman"/>
          <w:sz w:val="24"/>
          <w:szCs w:val="24"/>
        </w:rPr>
        <w:t>suggesting</w:t>
      </w:r>
      <w:r w:rsidR="00D35869">
        <w:rPr>
          <w:rFonts w:ascii="Times New Roman" w:hAnsi="Times New Roman" w:cs="Times New Roman"/>
          <w:sz w:val="24"/>
          <w:szCs w:val="24"/>
        </w:rPr>
        <w:t xml:space="preserve"> a strong influence of landscape ecosystem type on VAI variation across </w:t>
      </w:r>
      <w:proofErr w:type="spellStart"/>
      <w:r w:rsidR="00D35869">
        <w:rPr>
          <w:rFonts w:ascii="Times New Roman" w:hAnsi="Times New Roman" w:cs="Times New Roman"/>
          <w:sz w:val="24"/>
          <w:szCs w:val="24"/>
        </w:rPr>
        <w:t>FoRTE</w:t>
      </w:r>
      <w:proofErr w:type="spellEnd"/>
      <w:r w:rsidR="00D35869">
        <w:rPr>
          <w:rFonts w:ascii="Times New Roman" w:hAnsi="Times New Roman" w:cs="Times New Roman"/>
          <w:sz w:val="24"/>
          <w:szCs w:val="24"/>
        </w:rPr>
        <w:t xml:space="preserve"> independent of disturbance severity.</w:t>
      </w:r>
    </w:p>
    <w:p w14:paraId="696835B1" w14:textId="4C8158F5" w:rsidR="0042121F" w:rsidRPr="00C41234" w:rsidRDefault="0042121F" w:rsidP="0042121F">
      <w:pPr>
        <w:spacing w:line="480" w:lineRule="auto"/>
        <w:rPr>
          <w:rFonts w:ascii="Times New Roman" w:hAnsi="Times New Roman" w:cs="Times New Roman"/>
          <w:i/>
          <w:iCs/>
          <w:sz w:val="24"/>
          <w:szCs w:val="24"/>
        </w:rPr>
      </w:pPr>
      <w:r w:rsidRPr="00C41234">
        <w:rPr>
          <w:rFonts w:ascii="Times New Roman" w:hAnsi="Times New Roman" w:cs="Times New Roman"/>
          <w:i/>
          <w:iCs/>
          <w:sz w:val="24"/>
          <w:szCs w:val="24"/>
        </w:rPr>
        <w:t xml:space="preserve">3.2 </w:t>
      </w:r>
      <w:r w:rsidR="00263AC0">
        <w:rPr>
          <w:rFonts w:ascii="Times New Roman" w:hAnsi="Times New Roman" w:cs="Times New Roman"/>
          <w:i/>
          <w:iCs/>
          <w:sz w:val="24"/>
          <w:szCs w:val="24"/>
        </w:rPr>
        <w:t>C</w:t>
      </w:r>
      <w:r w:rsidR="00E76505">
        <w:rPr>
          <w:rFonts w:ascii="Times New Roman" w:hAnsi="Times New Roman" w:cs="Times New Roman"/>
          <w:i/>
          <w:iCs/>
          <w:sz w:val="24"/>
          <w:szCs w:val="24"/>
        </w:rPr>
        <w:t>ommunity-weighted mean</w:t>
      </w:r>
      <w:r w:rsidR="00C41234" w:rsidRPr="00C41234">
        <w:rPr>
          <w:rFonts w:ascii="Times New Roman" w:hAnsi="Times New Roman" w:cs="Times New Roman"/>
          <w:i/>
          <w:iCs/>
          <w:sz w:val="24"/>
          <w:szCs w:val="24"/>
        </w:rPr>
        <w:t xml:space="preserve"> leaf functional traits</w:t>
      </w:r>
      <w:r w:rsidR="00263AC0">
        <w:rPr>
          <w:rFonts w:ascii="Times New Roman" w:hAnsi="Times New Roman" w:cs="Times New Roman"/>
          <w:i/>
          <w:iCs/>
          <w:sz w:val="24"/>
          <w:szCs w:val="24"/>
        </w:rPr>
        <w:t xml:space="preserve"> and disturbance</w:t>
      </w:r>
    </w:p>
    <w:p w14:paraId="19FEAAD1" w14:textId="30F7A953" w:rsidR="00A95539" w:rsidRDefault="003B3B59" w:rsidP="00420FB9">
      <w:pPr>
        <w:spacing w:line="480" w:lineRule="auto"/>
        <w:rPr>
          <w:rFonts w:ascii="Times New Roman" w:hAnsi="Times New Roman" w:cs="Times New Roman"/>
          <w:sz w:val="24"/>
          <w:szCs w:val="24"/>
        </w:rPr>
      </w:pPr>
      <w:r>
        <w:rPr>
          <w:rFonts w:ascii="Times New Roman" w:hAnsi="Times New Roman" w:cs="Times New Roman"/>
          <w:sz w:val="24"/>
          <w:szCs w:val="24"/>
        </w:rPr>
        <w:tab/>
      </w:r>
      <w:r w:rsidR="00D35869">
        <w:rPr>
          <w:rFonts w:ascii="Times New Roman" w:hAnsi="Times New Roman" w:cs="Times New Roman"/>
          <w:sz w:val="24"/>
          <w:szCs w:val="24"/>
        </w:rPr>
        <w:t>In a series of split-split plot ANOVAs to test the effects of disturbance severity, treatment type (top-down or bottom-up), time, and their interactions, we found evidence that some, but not all,</w:t>
      </w:r>
      <w:r w:rsidR="00E76505">
        <w:rPr>
          <w:rFonts w:ascii="Times New Roman" w:hAnsi="Times New Roman" w:cs="Times New Roman"/>
          <w:sz w:val="24"/>
          <w:szCs w:val="24"/>
        </w:rPr>
        <w:t xml:space="preserve"> </w:t>
      </w:r>
      <w:r w:rsidR="00346B57">
        <w:rPr>
          <w:rFonts w:ascii="Times New Roman" w:hAnsi="Times New Roman" w:cs="Times New Roman"/>
          <w:sz w:val="24"/>
          <w:szCs w:val="24"/>
        </w:rPr>
        <w:t xml:space="preserve">CWM </w:t>
      </w:r>
      <w:r w:rsidR="00E76505">
        <w:rPr>
          <w:rFonts w:ascii="Times New Roman" w:hAnsi="Times New Roman" w:cs="Times New Roman"/>
          <w:sz w:val="24"/>
          <w:szCs w:val="24"/>
        </w:rPr>
        <w:t xml:space="preserve">subcanopy </w:t>
      </w:r>
      <w:r w:rsidR="00D35869">
        <w:rPr>
          <w:rFonts w:ascii="Times New Roman" w:hAnsi="Times New Roman" w:cs="Times New Roman"/>
          <w:sz w:val="24"/>
          <w:szCs w:val="24"/>
        </w:rPr>
        <w:t xml:space="preserve">leaf functional traits </w:t>
      </w:r>
      <w:r w:rsidR="00D35869" w:rsidRPr="008A617D">
        <w:rPr>
          <w:rFonts w:ascii="Times New Roman" w:hAnsi="Times New Roman" w:cs="Times New Roman"/>
          <w:sz w:val="24"/>
          <w:szCs w:val="24"/>
        </w:rPr>
        <w:t xml:space="preserve">hypothesized to </w:t>
      </w:r>
      <w:r w:rsidR="00346B57">
        <w:rPr>
          <w:rFonts w:ascii="Times New Roman" w:hAnsi="Times New Roman" w:cs="Times New Roman"/>
          <w:sz w:val="24"/>
          <w:szCs w:val="24"/>
        </w:rPr>
        <w:t>increase in response to disturbance</w:t>
      </w:r>
      <w:r w:rsidR="00D35869" w:rsidRPr="008A617D">
        <w:rPr>
          <w:rFonts w:ascii="Times New Roman" w:hAnsi="Times New Roman" w:cs="Times New Roman"/>
          <w:sz w:val="24"/>
          <w:szCs w:val="24"/>
        </w:rPr>
        <w:t xml:space="preserve"> did so in the first three years following disturbance initiation</w:t>
      </w:r>
      <w:r w:rsidR="00D35869" w:rsidRPr="00B2573E">
        <w:rPr>
          <w:rFonts w:ascii="Times New Roman" w:hAnsi="Times New Roman" w:cs="Times New Roman"/>
          <w:i/>
          <w:iCs/>
          <w:sz w:val="24"/>
          <w:szCs w:val="24"/>
        </w:rPr>
        <w:t xml:space="preserve"> </w:t>
      </w:r>
      <w:r w:rsidR="00D35869" w:rsidRPr="008A617D">
        <w:rPr>
          <w:rFonts w:ascii="Times New Roman" w:hAnsi="Times New Roman" w:cs="Times New Roman"/>
          <w:sz w:val="24"/>
          <w:szCs w:val="24"/>
        </w:rPr>
        <w:t>(Fig</w:t>
      </w:r>
      <w:r w:rsidR="00D35869">
        <w:rPr>
          <w:rFonts w:ascii="Times New Roman" w:hAnsi="Times New Roman" w:cs="Times New Roman"/>
          <w:sz w:val="24"/>
          <w:szCs w:val="24"/>
        </w:rPr>
        <w:t xml:space="preserve">. </w:t>
      </w:r>
      <w:r w:rsidR="00E76505">
        <w:rPr>
          <w:rFonts w:ascii="Times New Roman" w:hAnsi="Times New Roman" w:cs="Times New Roman"/>
          <w:sz w:val="24"/>
          <w:szCs w:val="24"/>
        </w:rPr>
        <w:t>3</w:t>
      </w:r>
      <w:r w:rsidR="00D35869">
        <w:rPr>
          <w:rFonts w:ascii="Times New Roman" w:hAnsi="Times New Roman" w:cs="Times New Roman"/>
          <w:sz w:val="24"/>
          <w:szCs w:val="24"/>
        </w:rPr>
        <w:t xml:space="preserve">). </w:t>
      </w:r>
      <w:r w:rsidR="00B2573E">
        <w:rPr>
          <w:rFonts w:ascii="Times New Roman" w:hAnsi="Times New Roman" w:cs="Times New Roman"/>
          <w:sz w:val="24"/>
          <w:szCs w:val="24"/>
        </w:rPr>
        <w:t>Models for</w:t>
      </w:r>
      <w:r w:rsidR="00C41234">
        <w:rPr>
          <w:rFonts w:ascii="Times New Roman" w:hAnsi="Times New Roman" w:cs="Times New Roman"/>
          <w:sz w:val="24"/>
          <w:szCs w:val="24"/>
        </w:rPr>
        <w:t xml:space="preserve"> </w:t>
      </w:r>
      <w:r w:rsidR="00263AC0">
        <w:rPr>
          <w:rFonts w:ascii="Times New Roman" w:hAnsi="Times New Roman" w:cs="Times New Roman"/>
          <w:sz w:val="24"/>
          <w:szCs w:val="24"/>
        </w:rPr>
        <w:t>community-weighted mean</w:t>
      </w:r>
      <w:r w:rsidR="00B2573E">
        <w:rPr>
          <w:rFonts w:ascii="Times New Roman" w:hAnsi="Times New Roman" w:cs="Times New Roman"/>
          <w:sz w:val="24"/>
          <w:szCs w:val="24"/>
        </w:rPr>
        <w:t xml:space="preserve"> </w:t>
      </w:r>
      <w:proofErr w:type="spellStart"/>
      <w:r w:rsidR="00B2573E">
        <w:rPr>
          <w:rFonts w:ascii="Times New Roman" w:hAnsi="Times New Roman" w:cs="Times New Roman"/>
          <w:sz w:val="24"/>
          <w:szCs w:val="24"/>
        </w:rPr>
        <w:t>A</w:t>
      </w:r>
      <w:r w:rsidR="00B2573E" w:rsidRPr="00B2573E">
        <w:rPr>
          <w:rFonts w:ascii="Times New Roman" w:hAnsi="Times New Roman" w:cs="Times New Roman"/>
          <w:sz w:val="24"/>
          <w:szCs w:val="24"/>
          <w:vertAlign w:val="subscript"/>
        </w:rPr>
        <w:t>sat</w:t>
      </w:r>
      <w:proofErr w:type="spellEnd"/>
      <w:r w:rsidR="00B2573E">
        <w:rPr>
          <w:rFonts w:ascii="Times New Roman" w:hAnsi="Times New Roman" w:cs="Times New Roman"/>
          <w:sz w:val="24"/>
          <w:szCs w:val="24"/>
        </w:rPr>
        <w:t xml:space="preserve"> and </w:t>
      </w:r>
      <w:proofErr w:type="spellStart"/>
      <w:r w:rsidR="00B2573E">
        <w:rPr>
          <w:rFonts w:ascii="Times New Roman" w:hAnsi="Times New Roman" w:cs="Times New Roman"/>
          <w:sz w:val="24"/>
          <w:szCs w:val="24"/>
        </w:rPr>
        <w:t>reNDVI</w:t>
      </w:r>
      <w:proofErr w:type="spellEnd"/>
      <w:r w:rsidR="00B2573E">
        <w:rPr>
          <w:rFonts w:ascii="Times New Roman" w:hAnsi="Times New Roman" w:cs="Times New Roman"/>
          <w:sz w:val="24"/>
          <w:szCs w:val="24"/>
        </w:rPr>
        <w:t xml:space="preserve"> </w:t>
      </w:r>
      <w:r w:rsidR="0042121F">
        <w:rPr>
          <w:rFonts w:ascii="Times New Roman" w:hAnsi="Times New Roman" w:cs="Times New Roman"/>
          <w:sz w:val="24"/>
          <w:szCs w:val="24"/>
        </w:rPr>
        <w:t xml:space="preserve">had </w:t>
      </w:r>
      <w:r w:rsidR="00B2573E">
        <w:rPr>
          <w:rFonts w:ascii="Times New Roman" w:hAnsi="Times New Roman" w:cs="Times New Roman"/>
          <w:sz w:val="24"/>
          <w:szCs w:val="24"/>
        </w:rPr>
        <w:t>highly significant main effect</w:t>
      </w:r>
      <w:r w:rsidR="00272E03">
        <w:rPr>
          <w:rFonts w:ascii="Times New Roman" w:hAnsi="Times New Roman" w:cs="Times New Roman"/>
          <w:sz w:val="24"/>
          <w:szCs w:val="24"/>
        </w:rPr>
        <w:t>s</w:t>
      </w:r>
      <w:r w:rsidR="00B2573E">
        <w:rPr>
          <w:rFonts w:ascii="Times New Roman" w:hAnsi="Times New Roman" w:cs="Times New Roman"/>
          <w:sz w:val="24"/>
          <w:szCs w:val="24"/>
        </w:rPr>
        <w:t xml:space="preserve"> of year (</w:t>
      </w:r>
      <w:r w:rsidR="00A3263F">
        <w:rPr>
          <w:rFonts w:ascii="Times New Roman" w:hAnsi="Times New Roman" w:cs="Times New Roman"/>
          <w:i/>
          <w:iCs/>
          <w:sz w:val="24"/>
          <w:szCs w:val="24"/>
        </w:rPr>
        <w:t>F</w:t>
      </w:r>
      <w:r w:rsidR="00A3263F">
        <w:rPr>
          <w:rFonts w:ascii="Times New Roman" w:hAnsi="Times New Roman" w:cs="Times New Roman"/>
          <w:sz w:val="24"/>
          <w:szCs w:val="24"/>
        </w:rPr>
        <w:t xml:space="preserve"> = 46.5 and </w:t>
      </w:r>
      <w:r w:rsidR="00A3263F">
        <w:rPr>
          <w:rFonts w:ascii="Times New Roman" w:hAnsi="Times New Roman" w:cs="Times New Roman"/>
          <w:i/>
          <w:iCs/>
          <w:sz w:val="24"/>
          <w:szCs w:val="24"/>
        </w:rPr>
        <w:t>F</w:t>
      </w:r>
      <w:r w:rsidR="00A3263F">
        <w:rPr>
          <w:rFonts w:ascii="Times New Roman" w:hAnsi="Times New Roman" w:cs="Times New Roman"/>
          <w:sz w:val="24"/>
          <w:szCs w:val="24"/>
        </w:rPr>
        <w:t xml:space="preserve"> = 35.2, respectively;</w:t>
      </w:r>
      <w:r w:rsidR="00A3263F">
        <w:rPr>
          <w:rFonts w:ascii="Times New Roman" w:hAnsi="Times New Roman" w:cs="Times New Roman"/>
          <w:i/>
          <w:iCs/>
          <w:sz w:val="24"/>
          <w:szCs w:val="24"/>
        </w:rPr>
        <w:t xml:space="preserve"> p</w:t>
      </w:r>
      <w:r w:rsidR="00B2573E">
        <w:rPr>
          <w:rFonts w:ascii="Times New Roman" w:hAnsi="Times New Roman" w:cs="Times New Roman"/>
          <w:sz w:val="24"/>
          <w:szCs w:val="24"/>
        </w:rPr>
        <w:t xml:space="preserve"> &lt; 0.0</w:t>
      </w:r>
      <w:r w:rsidR="005D1081">
        <w:rPr>
          <w:rFonts w:ascii="Times New Roman" w:hAnsi="Times New Roman" w:cs="Times New Roman"/>
          <w:sz w:val="24"/>
          <w:szCs w:val="24"/>
        </w:rPr>
        <w:t>0</w:t>
      </w:r>
      <w:r w:rsidR="00B2573E">
        <w:rPr>
          <w:rFonts w:ascii="Times New Roman" w:hAnsi="Times New Roman" w:cs="Times New Roman"/>
          <w:sz w:val="24"/>
          <w:szCs w:val="24"/>
        </w:rPr>
        <w:t>1) a</w:t>
      </w:r>
      <w:r w:rsidR="00E11120">
        <w:rPr>
          <w:rFonts w:ascii="Times New Roman" w:hAnsi="Times New Roman" w:cs="Times New Roman"/>
          <w:sz w:val="24"/>
          <w:szCs w:val="24"/>
        </w:rPr>
        <w:t>s well as highly significant interaction effect</w:t>
      </w:r>
      <w:r w:rsidR="00272E03">
        <w:rPr>
          <w:rFonts w:ascii="Times New Roman" w:hAnsi="Times New Roman" w:cs="Times New Roman"/>
          <w:sz w:val="24"/>
          <w:szCs w:val="24"/>
        </w:rPr>
        <w:t>s</w:t>
      </w:r>
      <w:r w:rsidR="00E11120">
        <w:rPr>
          <w:rFonts w:ascii="Times New Roman" w:hAnsi="Times New Roman" w:cs="Times New Roman"/>
          <w:sz w:val="24"/>
          <w:szCs w:val="24"/>
        </w:rPr>
        <w:t xml:space="preserve"> of year and disturbance severity (</w:t>
      </w:r>
      <w:proofErr w:type="spellStart"/>
      <w:r w:rsidR="005D1081">
        <w:rPr>
          <w:rFonts w:ascii="Times New Roman" w:hAnsi="Times New Roman" w:cs="Times New Roman"/>
          <w:sz w:val="24"/>
          <w:szCs w:val="24"/>
        </w:rPr>
        <w:t>A</w:t>
      </w:r>
      <w:r w:rsidR="005D1081" w:rsidRPr="005D1081">
        <w:rPr>
          <w:rFonts w:ascii="Times New Roman" w:hAnsi="Times New Roman" w:cs="Times New Roman"/>
          <w:sz w:val="24"/>
          <w:szCs w:val="24"/>
          <w:vertAlign w:val="subscript"/>
        </w:rPr>
        <w:t>sat</w:t>
      </w:r>
      <w:proofErr w:type="spellEnd"/>
      <w:r w:rsidR="005D1081">
        <w:rPr>
          <w:rFonts w:ascii="Times New Roman" w:hAnsi="Times New Roman" w:cs="Times New Roman"/>
          <w:sz w:val="24"/>
          <w:szCs w:val="24"/>
        </w:rPr>
        <w:t xml:space="preserve">: </w:t>
      </w:r>
      <w:r w:rsidR="00E11120" w:rsidRPr="00E11120">
        <w:rPr>
          <w:rFonts w:ascii="Times New Roman" w:hAnsi="Times New Roman" w:cs="Times New Roman"/>
          <w:i/>
          <w:iCs/>
          <w:sz w:val="24"/>
          <w:szCs w:val="24"/>
        </w:rPr>
        <w:t>F</w:t>
      </w:r>
      <w:r w:rsidR="00E11120">
        <w:rPr>
          <w:rFonts w:ascii="Times New Roman" w:hAnsi="Times New Roman" w:cs="Times New Roman"/>
          <w:sz w:val="24"/>
          <w:szCs w:val="24"/>
        </w:rPr>
        <w:t xml:space="preserve"> = 2.06, </w:t>
      </w:r>
      <w:r w:rsidR="00E11120" w:rsidRPr="00E11120">
        <w:rPr>
          <w:rFonts w:ascii="Times New Roman" w:hAnsi="Times New Roman" w:cs="Times New Roman"/>
          <w:i/>
          <w:iCs/>
          <w:sz w:val="24"/>
          <w:szCs w:val="24"/>
        </w:rPr>
        <w:t>p</w:t>
      </w:r>
      <w:r w:rsidR="00E11120">
        <w:rPr>
          <w:rFonts w:ascii="Times New Roman" w:hAnsi="Times New Roman" w:cs="Times New Roman"/>
          <w:sz w:val="24"/>
          <w:szCs w:val="24"/>
        </w:rPr>
        <w:t xml:space="preserve"> = 0.04</w:t>
      </w:r>
      <w:r w:rsidR="001848D6">
        <w:rPr>
          <w:rFonts w:ascii="Times New Roman" w:hAnsi="Times New Roman" w:cs="Times New Roman"/>
          <w:sz w:val="24"/>
          <w:szCs w:val="24"/>
        </w:rPr>
        <w:t xml:space="preserve">, Fig. </w:t>
      </w:r>
      <w:r w:rsidR="00B13458">
        <w:rPr>
          <w:rFonts w:ascii="Times New Roman" w:hAnsi="Times New Roman" w:cs="Times New Roman"/>
          <w:sz w:val="24"/>
          <w:szCs w:val="24"/>
        </w:rPr>
        <w:t>3</w:t>
      </w:r>
      <w:r w:rsidR="001848D6">
        <w:rPr>
          <w:rFonts w:ascii="Times New Roman" w:hAnsi="Times New Roman" w:cs="Times New Roman"/>
          <w:sz w:val="24"/>
          <w:szCs w:val="24"/>
        </w:rPr>
        <w:t xml:space="preserve"> a</w:t>
      </w:r>
      <w:r w:rsidR="00E11120">
        <w:rPr>
          <w:rFonts w:ascii="Times New Roman" w:hAnsi="Times New Roman" w:cs="Times New Roman"/>
          <w:sz w:val="24"/>
          <w:szCs w:val="24"/>
        </w:rPr>
        <w:t>;</w:t>
      </w:r>
      <w:r w:rsidR="005D1081">
        <w:rPr>
          <w:rFonts w:ascii="Times New Roman" w:hAnsi="Times New Roman" w:cs="Times New Roman"/>
          <w:sz w:val="24"/>
          <w:szCs w:val="24"/>
        </w:rPr>
        <w:t xml:space="preserve"> </w:t>
      </w:r>
      <w:proofErr w:type="spellStart"/>
      <w:r w:rsidR="005D1081">
        <w:rPr>
          <w:rFonts w:ascii="Times New Roman" w:hAnsi="Times New Roman" w:cs="Times New Roman"/>
          <w:sz w:val="24"/>
          <w:szCs w:val="24"/>
        </w:rPr>
        <w:t>reNDVI</w:t>
      </w:r>
      <w:proofErr w:type="spellEnd"/>
      <w:r w:rsidR="005D1081">
        <w:rPr>
          <w:rFonts w:ascii="Times New Roman" w:hAnsi="Times New Roman" w:cs="Times New Roman"/>
          <w:sz w:val="24"/>
          <w:szCs w:val="24"/>
        </w:rPr>
        <w:t>:</w:t>
      </w:r>
      <w:r w:rsidR="00E11120">
        <w:rPr>
          <w:rFonts w:ascii="Times New Roman" w:hAnsi="Times New Roman" w:cs="Times New Roman"/>
          <w:sz w:val="24"/>
          <w:szCs w:val="24"/>
        </w:rPr>
        <w:t xml:space="preserve"> </w:t>
      </w:r>
      <w:r w:rsidR="00E11120" w:rsidRPr="00E11120">
        <w:rPr>
          <w:rFonts w:ascii="Times New Roman" w:hAnsi="Times New Roman" w:cs="Times New Roman"/>
          <w:i/>
          <w:iCs/>
          <w:sz w:val="24"/>
          <w:szCs w:val="24"/>
        </w:rPr>
        <w:t>F</w:t>
      </w:r>
      <w:r w:rsidR="00E11120">
        <w:rPr>
          <w:rFonts w:ascii="Times New Roman" w:hAnsi="Times New Roman" w:cs="Times New Roman"/>
          <w:sz w:val="24"/>
          <w:szCs w:val="24"/>
        </w:rPr>
        <w:t xml:space="preserve"> = 6.70, </w:t>
      </w:r>
      <w:r w:rsidR="00E11120" w:rsidRPr="00E11120">
        <w:rPr>
          <w:rFonts w:ascii="Times New Roman" w:hAnsi="Times New Roman" w:cs="Times New Roman"/>
          <w:i/>
          <w:iCs/>
          <w:sz w:val="24"/>
          <w:szCs w:val="24"/>
        </w:rPr>
        <w:t>p</w:t>
      </w:r>
      <w:r w:rsidR="00E11120">
        <w:rPr>
          <w:rFonts w:ascii="Times New Roman" w:hAnsi="Times New Roman" w:cs="Times New Roman"/>
          <w:sz w:val="24"/>
          <w:szCs w:val="24"/>
        </w:rPr>
        <w:t xml:space="preserve"> &lt; 0.001</w:t>
      </w:r>
      <w:r w:rsidR="001848D6">
        <w:rPr>
          <w:rFonts w:ascii="Times New Roman" w:hAnsi="Times New Roman" w:cs="Times New Roman"/>
          <w:sz w:val="24"/>
          <w:szCs w:val="24"/>
        </w:rPr>
        <w:t xml:space="preserve">, Fig. </w:t>
      </w:r>
      <w:r w:rsidR="00B13458">
        <w:rPr>
          <w:rFonts w:ascii="Times New Roman" w:hAnsi="Times New Roman" w:cs="Times New Roman"/>
          <w:sz w:val="24"/>
          <w:szCs w:val="24"/>
        </w:rPr>
        <w:t>3</w:t>
      </w:r>
      <w:r w:rsidR="001848D6">
        <w:rPr>
          <w:rFonts w:ascii="Times New Roman" w:hAnsi="Times New Roman" w:cs="Times New Roman"/>
          <w:sz w:val="24"/>
          <w:szCs w:val="24"/>
        </w:rPr>
        <w:t xml:space="preserve"> d</w:t>
      </w:r>
      <w:r w:rsidR="00E11120">
        <w:rPr>
          <w:rFonts w:ascii="Times New Roman" w:hAnsi="Times New Roman" w:cs="Times New Roman"/>
          <w:sz w:val="24"/>
          <w:szCs w:val="24"/>
        </w:rPr>
        <w:t>).</w:t>
      </w:r>
      <w:r w:rsidR="00EA438A">
        <w:rPr>
          <w:rFonts w:ascii="Times New Roman" w:hAnsi="Times New Roman" w:cs="Times New Roman"/>
          <w:sz w:val="24"/>
          <w:szCs w:val="24"/>
        </w:rPr>
        <w:t xml:space="preserve"> In particular, both traits </w:t>
      </w:r>
      <w:r w:rsidR="005D1081">
        <w:rPr>
          <w:rFonts w:ascii="Times New Roman" w:hAnsi="Times New Roman" w:cs="Times New Roman"/>
          <w:sz w:val="24"/>
          <w:szCs w:val="24"/>
        </w:rPr>
        <w:t>exhibited the hypothesized</w:t>
      </w:r>
      <w:r w:rsidR="00EA438A">
        <w:rPr>
          <w:rFonts w:ascii="Times New Roman" w:hAnsi="Times New Roman" w:cs="Times New Roman"/>
          <w:sz w:val="24"/>
          <w:szCs w:val="24"/>
        </w:rPr>
        <w:t xml:space="preserve"> upward trends in </w:t>
      </w:r>
      <w:r w:rsidR="00A95539">
        <w:rPr>
          <w:rFonts w:ascii="Times New Roman" w:hAnsi="Times New Roman" w:cs="Times New Roman"/>
          <w:sz w:val="24"/>
          <w:szCs w:val="24"/>
        </w:rPr>
        <w:t xml:space="preserve">their CWMs in 2020 and 2021, with </w:t>
      </w:r>
      <w:proofErr w:type="spellStart"/>
      <w:r w:rsidR="00A95539">
        <w:rPr>
          <w:rFonts w:ascii="Times New Roman" w:hAnsi="Times New Roman" w:cs="Times New Roman"/>
          <w:sz w:val="24"/>
          <w:szCs w:val="24"/>
        </w:rPr>
        <w:t>reNDVI</w:t>
      </w:r>
      <w:proofErr w:type="spellEnd"/>
      <w:r w:rsidR="00A95539">
        <w:rPr>
          <w:rFonts w:ascii="Times New Roman" w:hAnsi="Times New Roman" w:cs="Times New Roman"/>
          <w:sz w:val="24"/>
          <w:szCs w:val="24"/>
        </w:rPr>
        <w:t xml:space="preserve"> increasing across all disturbance severity levels </w:t>
      </w:r>
      <w:r w:rsidR="00C41234">
        <w:rPr>
          <w:rFonts w:ascii="Times New Roman" w:hAnsi="Times New Roman" w:cs="Times New Roman"/>
          <w:sz w:val="24"/>
          <w:szCs w:val="24"/>
        </w:rPr>
        <w:t xml:space="preserve">(45, 65, and 85 %) </w:t>
      </w:r>
      <w:r w:rsidR="00A95539">
        <w:rPr>
          <w:rFonts w:ascii="Times New Roman" w:hAnsi="Times New Roman" w:cs="Times New Roman"/>
          <w:sz w:val="24"/>
          <w:szCs w:val="24"/>
        </w:rPr>
        <w:t xml:space="preserve">relative to control and </w:t>
      </w:r>
      <w:proofErr w:type="spellStart"/>
      <w:r w:rsidR="00A95539">
        <w:rPr>
          <w:rFonts w:ascii="Times New Roman" w:hAnsi="Times New Roman" w:cs="Times New Roman"/>
          <w:sz w:val="24"/>
          <w:szCs w:val="24"/>
        </w:rPr>
        <w:t>A</w:t>
      </w:r>
      <w:r w:rsidR="00A95539" w:rsidRPr="00A95539">
        <w:rPr>
          <w:rFonts w:ascii="Times New Roman" w:hAnsi="Times New Roman" w:cs="Times New Roman"/>
          <w:sz w:val="24"/>
          <w:szCs w:val="24"/>
          <w:vertAlign w:val="subscript"/>
        </w:rPr>
        <w:t>sat</w:t>
      </w:r>
      <w:proofErr w:type="spellEnd"/>
      <w:r w:rsidR="00A95539">
        <w:rPr>
          <w:rFonts w:ascii="Times New Roman" w:hAnsi="Times New Roman" w:cs="Times New Roman"/>
          <w:sz w:val="24"/>
          <w:szCs w:val="24"/>
        </w:rPr>
        <w:t xml:space="preserve"> increasing at the upper end of the disturbance severity continuum</w:t>
      </w:r>
      <w:r w:rsidR="00C41234">
        <w:rPr>
          <w:rFonts w:ascii="Times New Roman" w:hAnsi="Times New Roman" w:cs="Times New Roman"/>
          <w:sz w:val="24"/>
          <w:szCs w:val="24"/>
        </w:rPr>
        <w:t xml:space="preserve"> (65 and 85 %)</w:t>
      </w:r>
      <w:r w:rsidR="00A95539">
        <w:rPr>
          <w:rFonts w:ascii="Times New Roman" w:hAnsi="Times New Roman" w:cs="Times New Roman"/>
          <w:sz w:val="24"/>
          <w:szCs w:val="24"/>
        </w:rPr>
        <w:t xml:space="preserve">. </w:t>
      </w:r>
    </w:p>
    <w:p w14:paraId="139DDA8A" w14:textId="7DEA5921" w:rsidR="002B2AB3" w:rsidRDefault="00E11120" w:rsidP="00346B5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8A617D">
        <w:rPr>
          <w:rFonts w:ascii="Times New Roman" w:hAnsi="Times New Roman" w:cs="Times New Roman"/>
          <w:sz w:val="24"/>
          <w:szCs w:val="24"/>
        </w:rPr>
        <w:t xml:space="preserve">model for our </w:t>
      </w:r>
      <w:r>
        <w:rPr>
          <w:rFonts w:ascii="Times New Roman" w:hAnsi="Times New Roman" w:cs="Times New Roman"/>
          <w:sz w:val="24"/>
          <w:szCs w:val="24"/>
        </w:rPr>
        <w:t xml:space="preserve">second </w:t>
      </w:r>
      <w:r w:rsidR="008D431D">
        <w:rPr>
          <w:rFonts w:ascii="Times New Roman" w:hAnsi="Times New Roman" w:cs="Times New Roman"/>
          <w:sz w:val="24"/>
          <w:szCs w:val="24"/>
        </w:rPr>
        <w:t xml:space="preserve">CWM </w:t>
      </w:r>
      <w:r>
        <w:rPr>
          <w:rFonts w:ascii="Times New Roman" w:hAnsi="Times New Roman" w:cs="Times New Roman"/>
          <w:sz w:val="24"/>
          <w:szCs w:val="24"/>
        </w:rPr>
        <w:t xml:space="preserve">leaf physiological trait, </w:t>
      </w:r>
      <w:proofErr w:type="spellStart"/>
      <w:r>
        <w:rPr>
          <w:rFonts w:ascii="Times New Roman" w:hAnsi="Times New Roman" w:cs="Times New Roman"/>
          <w:sz w:val="24"/>
          <w:szCs w:val="24"/>
        </w:rPr>
        <w:t>g</w:t>
      </w:r>
      <w:r w:rsidRPr="0062221A">
        <w:rPr>
          <w:rFonts w:ascii="Times New Roman" w:hAnsi="Times New Roman" w:cs="Times New Roman"/>
          <w:sz w:val="24"/>
          <w:szCs w:val="24"/>
          <w:vertAlign w:val="subscript"/>
        </w:rPr>
        <w:t>s</w:t>
      </w:r>
      <w:proofErr w:type="spellEnd"/>
      <w:r>
        <w:rPr>
          <w:rFonts w:ascii="Times New Roman" w:hAnsi="Times New Roman" w:cs="Times New Roman"/>
          <w:sz w:val="24"/>
          <w:szCs w:val="24"/>
        </w:rPr>
        <w:t>, was</w:t>
      </w:r>
      <w:r w:rsidR="008A617D">
        <w:rPr>
          <w:rFonts w:ascii="Times New Roman" w:hAnsi="Times New Roman" w:cs="Times New Roman"/>
          <w:sz w:val="24"/>
          <w:szCs w:val="24"/>
        </w:rPr>
        <w:t xml:space="preserve"> additionally</w:t>
      </w:r>
      <w:r>
        <w:rPr>
          <w:rFonts w:ascii="Times New Roman" w:hAnsi="Times New Roman" w:cs="Times New Roman"/>
          <w:sz w:val="24"/>
          <w:szCs w:val="24"/>
        </w:rPr>
        <w:t xml:space="preserve"> found to have a </w:t>
      </w:r>
      <w:r w:rsidR="005D1081">
        <w:rPr>
          <w:rFonts w:ascii="Times New Roman" w:hAnsi="Times New Roman" w:cs="Times New Roman"/>
          <w:sz w:val="24"/>
          <w:szCs w:val="24"/>
        </w:rPr>
        <w:t xml:space="preserve">highly </w:t>
      </w:r>
      <w:r>
        <w:rPr>
          <w:rFonts w:ascii="Times New Roman" w:hAnsi="Times New Roman" w:cs="Times New Roman"/>
          <w:sz w:val="24"/>
          <w:szCs w:val="24"/>
        </w:rPr>
        <w:t xml:space="preserve">significant main effect of year </w:t>
      </w:r>
      <w:r w:rsidR="008A617D">
        <w:rPr>
          <w:rFonts w:ascii="Times New Roman" w:hAnsi="Times New Roman" w:cs="Times New Roman"/>
          <w:sz w:val="24"/>
          <w:szCs w:val="24"/>
        </w:rPr>
        <w:t>(</w:t>
      </w:r>
      <w:r w:rsidR="008A617D" w:rsidRPr="00272E03">
        <w:rPr>
          <w:rFonts w:ascii="Times New Roman" w:hAnsi="Times New Roman" w:cs="Times New Roman"/>
          <w:i/>
          <w:iCs/>
          <w:sz w:val="24"/>
          <w:szCs w:val="24"/>
        </w:rPr>
        <w:t>F</w:t>
      </w:r>
      <w:r w:rsidR="008A617D">
        <w:rPr>
          <w:rFonts w:ascii="Times New Roman" w:hAnsi="Times New Roman" w:cs="Times New Roman"/>
          <w:sz w:val="24"/>
          <w:szCs w:val="24"/>
        </w:rPr>
        <w:t xml:space="preserve"> = 82.5</w:t>
      </w:r>
      <w:r w:rsidR="008A617D" w:rsidRPr="00272E03">
        <w:rPr>
          <w:rFonts w:ascii="Times New Roman" w:hAnsi="Times New Roman" w:cs="Times New Roman"/>
          <w:i/>
          <w:iCs/>
          <w:sz w:val="24"/>
          <w:szCs w:val="24"/>
        </w:rPr>
        <w:t>, p</w:t>
      </w:r>
      <w:r w:rsidR="008A617D">
        <w:rPr>
          <w:rFonts w:ascii="Times New Roman" w:hAnsi="Times New Roman" w:cs="Times New Roman"/>
          <w:sz w:val="24"/>
          <w:szCs w:val="24"/>
        </w:rPr>
        <w:t xml:space="preserve"> &lt; 0.001) and a </w:t>
      </w:r>
      <w:r w:rsidR="0062221A">
        <w:rPr>
          <w:rFonts w:ascii="Times New Roman" w:hAnsi="Times New Roman" w:cs="Times New Roman"/>
          <w:sz w:val="24"/>
          <w:szCs w:val="24"/>
        </w:rPr>
        <w:t>moderately significant interaction effect of disturbance severity and year (</w:t>
      </w:r>
      <w:r w:rsidR="0062221A" w:rsidRPr="0062221A">
        <w:rPr>
          <w:rFonts w:ascii="Times New Roman" w:hAnsi="Times New Roman" w:cs="Times New Roman"/>
          <w:i/>
          <w:iCs/>
          <w:sz w:val="24"/>
          <w:szCs w:val="24"/>
        </w:rPr>
        <w:t>F</w:t>
      </w:r>
      <w:r w:rsidR="0062221A">
        <w:rPr>
          <w:rFonts w:ascii="Times New Roman" w:hAnsi="Times New Roman" w:cs="Times New Roman"/>
          <w:sz w:val="24"/>
          <w:szCs w:val="24"/>
        </w:rPr>
        <w:t xml:space="preserve"> = 1.83, </w:t>
      </w:r>
      <w:r w:rsidR="0062221A" w:rsidRPr="0062221A">
        <w:rPr>
          <w:rFonts w:ascii="Times New Roman" w:hAnsi="Times New Roman" w:cs="Times New Roman"/>
          <w:i/>
          <w:iCs/>
          <w:sz w:val="24"/>
          <w:szCs w:val="24"/>
        </w:rPr>
        <w:t>p</w:t>
      </w:r>
      <w:r w:rsidR="0062221A">
        <w:rPr>
          <w:rFonts w:ascii="Times New Roman" w:hAnsi="Times New Roman" w:cs="Times New Roman"/>
          <w:sz w:val="24"/>
          <w:szCs w:val="24"/>
        </w:rPr>
        <w:t xml:space="preserve"> = 0.08</w:t>
      </w:r>
      <w:r w:rsidR="00C41234">
        <w:rPr>
          <w:rFonts w:ascii="Times New Roman" w:hAnsi="Times New Roman" w:cs="Times New Roman"/>
          <w:sz w:val="24"/>
          <w:szCs w:val="24"/>
        </w:rPr>
        <w:t>)</w:t>
      </w:r>
      <w:r w:rsidR="005D1081">
        <w:rPr>
          <w:rFonts w:ascii="Times New Roman" w:hAnsi="Times New Roman" w:cs="Times New Roman"/>
          <w:sz w:val="24"/>
          <w:szCs w:val="24"/>
        </w:rPr>
        <w:t xml:space="preserve">, </w:t>
      </w:r>
      <w:r w:rsidR="008D431D">
        <w:rPr>
          <w:rFonts w:ascii="Times New Roman" w:hAnsi="Times New Roman" w:cs="Times New Roman"/>
          <w:sz w:val="24"/>
          <w:szCs w:val="24"/>
        </w:rPr>
        <w:t>rising</w:t>
      </w:r>
      <w:r w:rsidR="005D1081">
        <w:rPr>
          <w:rFonts w:ascii="Times New Roman" w:hAnsi="Times New Roman" w:cs="Times New Roman"/>
          <w:sz w:val="24"/>
          <w:szCs w:val="24"/>
        </w:rPr>
        <w:t xml:space="preserve"> as hypothesized with increasing disturbance severity and time since disturbance</w:t>
      </w:r>
      <w:r w:rsidR="001848D6">
        <w:rPr>
          <w:rFonts w:ascii="Times New Roman" w:hAnsi="Times New Roman" w:cs="Times New Roman"/>
          <w:sz w:val="24"/>
          <w:szCs w:val="24"/>
        </w:rPr>
        <w:t xml:space="preserve"> (Fig. </w:t>
      </w:r>
      <w:r w:rsidR="00B13458">
        <w:rPr>
          <w:rFonts w:ascii="Times New Roman" w:hAnsi="Times New Roman" w:cs="Times New Roman"/>
          <w:sz w:val="24"/>
          <w:szCs w:val="24"/>
        </w:rPr>
        <w:t>3</w:t>
      </w:r>
      <w:r w:rsidR="001848D6">
        <w:rPr>
          <w:rFonts w:ascii="Times New Roman" w:hAnsi="Times New Roman" w:cs="Times New Roman"/>
          <w:sz w:val="24"/>
          <w:szCs w:val="24"/>
        </w:rPr>
        <w:t xml:space="preserve"> b)</w:t>
      </w:r>
      <w:r w:rsidR="0062221A">
        <w:rPr>
          <w:rFonts w:ascii="Times New Roman" w:hAnsi="Times New Roman" w:cs="Times New Roman"/>
          <w:sz w:val="24"/>
          <w:szCs w:val="24"/>
        </w:rPr>
        <w:t xml:space="preserve">. In contrast, our </w:t>
      </w:r>
      <w:r w:rsidR="00EA438A">
        <w:rPr>
          <w:rFonts w:ascii="Times New Roman" w:hAnsi="Times New Roman" w:cs="Times New Roman"/>
          <w:sz w:val="24"/>
          <w:szCs w:val="24"/>
        </w:rPr>
        <w:t xml:space="preserve">leaf </w:t>
      </w:r>
      <w:r w:rsidR="0062221A">
        <w:rPr>
          <w:rFonts w:ascii="Times New Roman" w:hAnsi="Times New Roman" w:cs="Times New Roman"/>
          <w:sz w:val="24"/>
          <w:szCs w:val="24"/>
        </w:rPr>
        <w:t xml:space="preserve">morphological trait, LMA, </w:t>
      </w:r>
      <w:r w:rsidR="00A3263F">
        <w:rPr>
          <w:rFonts w:ascii="Times New Roman" w:hAnsi="Times New Roman" w:cs="Times New Roman"/>
          <w:sz w:val="24"/>
          <w:szCs w:val="24"/>
        </w:rPr>
        <w:t xml:space="preserve">yielded </w:t>
      </w:r>
      <w:r w:rsidR="0062221A">
        <w:rPr>
          <w:rFonts w:ascii="Times New Roman" w:hAnsi="Times New Roman" w:cs="Times New Roman"/>
          <w:sz w:val="24"/>
          <w:szCs w:val="24"/>
        </w:rPr>
        <w:t>no significant disturbance effects</w:t>
      </w:r>
      <w:r w:rsidR="00A3263F">
        <w:rPr>
          <w:rFonts w:ascii="Times New Roman" w:hAnsi="Times New Roman" w:cs="Times New Roman"/>
          <w:sz w:val="24"/>
          <w:szCs w:val="24"/>
        </w:rPr>
        <w:t xml:space="preserve"> in our model</w:t>
      </w:r>
      <w:r w:rsidR="0062221A">
        <w:rPr>
          <w:rFonts w:ascii="Times New Roman" w:hAnsi="Times New Roman" w:cs="Times New Roman"/>
          <w:sz w:val="24"/>
          <w:szCs w:val="24"/>
        </w:rPr>
        <w:t>, but additional strong evidence for the effect of year on LMA community weighted means (</w:t>
      </w:r>
      <w:r w:rsidR="0062221A" w:rsidRPr="00EA438A">
        <w:rPr>
          <w:rFonts w:ascii="Times New Roman" w:hAnsi="Times New Roman" w:cs="Times New Roman"/>
          <w:i/>
          <w:iCs/>
          <w:sz w:val="24"/>
          <w:szCs w:val="24"/>
        </w:rPr>
        <w:t>F</w:t>
      </w:r>
      <w:r w:rsidR="0062221A">
        <w:rPr>
          <w:rFonts w:ascii="Times New Roman" w:hAnsi="Times New Roman" w:cs="Times New Roman"/>
          <w:sz w:val="24"/>
          <w:szCs w:val="24"/>
        </w:rPr>
        <w:t xml:space="preserve"> = </w:t>
      </w:r>
      <w:r w:rsidR="00EA438A">
        <w:rPr>
          <w:rFonts w:ascii="Times New Roman" w:hAnsi="Times New Roman" w:cs="Times New Roman"/>
          <w:sz w:val="24"/>
          <w:szCs w:val="24"/>
        </w:rPr>
        <w:t xml:space="preserve">5.10, </w:t>
      </w:r>
      <w:r w:rsidR="00EA438A" w:rsidRPr="00EA438A">
        <w:rPr>
          <w:rFonts w:ascii="Times New Roman" w:hAnsi="Times New Roman" w:cs="Times New Roman"/>
          <w:i/>
          <w:iCs/>
          <w:sz w:val="24"/>
          <w:szCs w:val="24"/>
        </w:rPr>
        <w:t>p</w:t>
      </w:r>
      <w:r w:rsidR="00EA438A">
        <w:rPr>
          <w:rFonts w:ascii="Times New Roman" w:hAnsi="Times New Roman" w:cs="Times New Roman"/>
          <w:sz w:val="24"/>
          <w:szCs w:val="24"/>
        </w:rPr>
        <w:t xml:space="preserve"> </w:t>
      </w:r>
      <w:r w:rsidR="00D35869">
        <w:rPr>
          <w:rFonts w:ascii="Times New Roman" w:hAnsi="Times New Roman" w:cs="Times New Roman"/>
          <w:sz w:val="24"/>
          <w:szCs w:val="24"/>
        </w:rPr>
        <w:t>= 0.003</w:t>
      </w:r>
      <w:r w:rsidR="00EA438A">
        <w:rPr>
          <w:rFonts w:ascii="Times New Roman" w:hAnsi="Times New Roman" w:cs="Times New Roman"/>
          <w:sz w:val="24"/>
          <w:szCs w:val="24"/>
        </w:rPr>
        <w:t xml:space="preserve">, Fig. </w:t>
      </w:r>
      <w:r w:rsidR="00B13458">
        <w:rPr>
          <w:rFonts w:ascii="Times New Roman" w:hAnsi="Times New Roman" w:cs="Times New Roman"/>
          <w:sz w:val="24"/>
          <w:szCs w:val="24"/>
        </w:rPr>
        <w:t>3</w:t>
      </w:r>
      <w:r w:rsidR="00EA438A">
        <w:rPr>
          <w:rFonts w:ascii="Times New Roman" w:hAnsi="Times New Roman" w:cs="Times New Roman"/>
          <w:sz w:val="24"/>
          <w:szCs w:val="24"/>
        </w:rPr>
        <w:t xml:space="preserve"> c). </w:t>
      </w:r>
    </w:p>
    <w:p w14:paraId="5476451D" w14:textId="6AD8F360" w:rsidR="00A3263F" w:rsidRPr="0044017C" w:rsidRDefault="00263AC0" w:rsidP="00420FB9">
      <w:pPr>
        <w:spacing w:line="480" w:lineRule="auto"/>
        <w:rPr>
          <w:rFonts w:ascii="Times New Roman" w:hAnsi="Times New Roman" w:cs="Times New Roman"/>
          <w:i/>
          <w:iCs/>
          <w:sz w:val="24"/>
          <w:szCs w:val="24"/>
        </w:rPr>
      </w:pPr>
      <w:r w:rsidRPr="0044017C">
        <w:rPr>
          <w:rFonts w:ascii="Times New Roman" w:hAnsi="Times New Roman" w:cs="Times New Roman"/>
          <w:i/>
          <w:iCs/>
          <w:sz w:val="24"/>
          <w:szCs w:val="24"/>
        </w:rPr>
        <w:t xml:space="preserve">3.3 </w:t>
      </w:r>
      <w:r w:rsidR="007E49DE">
        <w:rPr>
          <w:rFonts w:ascii="Times New Roman" w:hAnsi="Times New Roman" w:cs="Times New Roman"/>
          <w:i/>
          <w:iCs/>
          <w:sz w:val="24"/>
          <w:szCs w:val="24"/>
        </w:rPr>
        <w:t>Subcanopy leaf functional response to declining canopy VAI</w:t>
      </w:r>
    </w:p>
    <w:p w14:paraId="25638606" w14:textId="1E3F5E87" w:rsidR="000F4CCE" w:rsidRDefault="00D35869" w:rsidP="00420FB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To test whether community-weighted mean leaf functional traits of interest responded </w:t>
      </w:r>
      <w:r w:rsidR="0044017C">
        <w:rPr>
          <w:rFonts w:ascii="Times New Roman" w:hAnsi="Times New Roman" w:cs="Times New Roman"/>
          <w:sz w:val="24"/>
          <w:szCs w:val="24"/>
        </w:rPr>
        <w:t>to the interactive effects of</w:t>
      </w:r>
      <w:r>
        <w:rPr>
          <w:rFonts w:ascii="Times New Roman" w:hAnsi="Times New Roman" w:cs="Times New Roman"/>
          <w:sz w:val="24"/>
          <w:szCs w:val="24"/>
        </w:rPr>
        <w:t xml:space="preserve"> </w:t>
      </w:r>
      <w:r w:rsidR="0044017C">
        <w:rPr>
          <w:rFonts w:ascii="Times New Roman" w:hAnsi="Times New Roman" w:cs="Times New Roman"/>
          <w:sz w:val="24"/>
          <w:szCs w:val="24"/>
        </w:rPr>
        <w:t>shifting</w:t>
      </w:r>
      <w:r>
        <w:rPr>
          <w:rFonts w:ascii="Times New Roman" w:hAnsi="Times New Roman" w:cs="Times New Roman"/>
          <w:sz w:val="24"/>
          <w:szCs w:val="24"/>
        </w:rPr>
        <w:t xml:space="preserve"> canopy VAI</w:t>
      </w:r>
      <w:r w:rsidR="0044017C">
        <w:rPr>
          <w:rFonts w:ascii="Times New Roman" w:hAnsi="Times New Roman" w:cs="Times New Roman"/>
          <w:sz w:val="24"/>
          <w:szCs w:val="24"/>
        </w:rPr>
        <w:t xml:space="preserve"> and year,</w:t>
      </w:r>
      <w:r>
        <w:rPr>
          <w:rFonts w:ascii="Times New Roman" w:hAnsi="Times New Roman" w:cs="Times New Roman"/>
          <w:sz w:val="24"/>
          <w:szCs w:val="24"/>
        </w:rPr>
        <w:t xml:space="preserve"> we </w:t>
      </w:r>
      <w:r w:rsidR="0044017C">
        <w:rPr>
          <w:rFonts w:ascii="Times New Roman" w:hAnsi="Times New Roman" w:cs="Times New Roman"/>
          <w:sz w:val="24"/>
          <w:szCs w:val="24"/>
        </w:rPr>
        <w:t xml:space="preserve">generated a series of linear mixed effects models with replicate included as a random effect. In the model for CWM </w:t>
      </w:r>
      <w:proofErr w:type="spellStart"/>
      <w:r w:rsidR="0044017C">
        <w:rPr>
          <w:rFonts w:ascii="Times New Roman" w:hAnsi="Times New Roman" w:cs="Times New Roman"/>
          <w:sz w:val="24"/>
          <w:szCs w:val="24"/>
        </w:rPr>
        <w:t>A</w:t>
      </w:r>
      <w:r w:rsidR="0044017C" w:rsidRPr="0044017C">
        <w:rPr>
          <w:rFonts w:ascii="Times New Roman" w:hAnsi="Times New Roman" w:cs="Times New Roman"/>
          <w:sz w:val="24"/>
          <w:szCs w:val="24"/>
          <w:vertAlign w:val="subscript"/>
        </w:rPr>
        <w:t>sat</w:t>
      </w:r>
      <w:proofErr w:type="spellEnd"/>
      <w:r w:rsidR="0044017C">
        <w:rPr>
          <w:rFonts w:ascii="Times New Roman" w:hAnsi="Times New Roman" w:cs="Times New Roman"/>
          <w:sz w:val="24"/>
          <w:szCs w:val="24"/>
        </w:rPr>
        <w:t>, VAI</w:t>
      </w:r>
      <w:r w:rsidR="00893AD2">
        <w:rPr>
          <w:rFonts w:ascii="Times New Roman" w:hAnsi="Times New Roman" w:cs="Times New Roman"/>
          <w:sz w:val="24"/>
          <w:szCs w:val="24"/>
        </w:rPr>
        <w:t xml:space="preserve"> (</w:t>
      </w:r>
      <w:r w:rsidR="00893AD2" w:rsidRPr="00893AD2">
        <w:rPr>
          <w:rFonts w:ascii="Times New Roman" w:hAnsi="Times New Roman" w:cs="Times New Roman"/>
          <w:i/>
          <w:iCs/>
          <w:sz w:val="24"/>
          <w:szCs w:val="24"/>
        </w:rPr>
        <w:t>t</w:t>
      </w:r>
      <w:r w:rsidR="00893AD2">
        <w:rPr>
          <w:rFonts w:ascii="Times New Roman" w:hAnsi="Times New Roman" w:cs="Times New Roman"/>
          <w:sz w:val="24"/>
          <w:szCs w:val="24"/>
        </w:rPr>
        <w:t xml:space="preserve"> = 2.31, </w:t>
      </w:r>
      <w:r w:rsidR="00893AD2" w:rsidRPr="00893AD2">
        <w:rPr>
          <w:rFonts w:ascii="Times New Roman" w:hAnsi="Times New Roman" w:cs="Times New Roman"/>
          <w:i/>
          <w:iCs/>
          <w:sz w:val="24"/>
          <w:szCs w:val="24"/>
        </w:rPr>
        <w:t>p</w:t>
      </w:r>
      <w:r w:rsidR="00893AD2">
        <w:rPr>
          <w:rFonts w:ascii="Times New Roman" w:hAnsi="Times New Roman" w:cs="Times New Roman"/>
          <w:sz w:val="24"/>
          <w:szCs w:val="24"/>
        </w:rPr>
        <w:t xml:space="preserve"> = 0.02)</w:t>
      </w:r>
      <w:r w:rsidR="00845724">
        <w:rPr>
          <w:rFonts w:ascii="Times New Roman" w:hAnsi="Times New Roman" w:cs="Times New Roman"/>
          <w:sz w:val="24"/>
          <w:szCs w:val="24"/>
        </w:rPr>
        <w:t>, year</w:t>
      </w:r>
      <w:r w:rsidR="00893AD2">
        <w:rPr>
          <w:rFonts w:ascii="Times New Roman" w:hAnsi="Times New Roman" w:cs="Times New Roman"/>
          <w:sz w:val="24"/>
          <w:szCs w:val="24"/>
        </w:rPr>
        <w:t xml:space="preserve"> (2019: </w:t>
      </w:r>
      <w:r w:rsidR="00893AD2" w:rsidRPr="00893AD2">
        <w:rPr>
          <w:rFonts w:ascii="Times New Roman" w:hAnsi="Times New Roman" w:cs="Times New Roman"/>
          <w:i/>
          <w:iCs/>
          <w:sz w:val="24"/>
          <w:szCs w:val="24"/>
        </w:rPr>
        <w:t>t</w:t>
      </w:r>
      <w:r w:rsidR="00893AD2">
        <w:rPr>
          <w:rFonts w:ascii="Times New Roman" w:hAnsi="Times New Roman" w:cs="Times New Roman"/>
          <w:sz w:val="24"/>
          <w:szCs w:val="24"/>
        </w:rPr>
        <w:t xml:space="preserve"> = 3.40, </w:t>
      </w:r>
      <w:r w:rsidR="00893AD2" w:rsidRPr="00893AD2">
        <w:rPr>
          <w:rFonts w:ascii="Times New Roman" w:hAnsi="Times New Roman" w:cs="Times New Roman"/>
          <w:i/>
          <w:iCs/>
          <w:sz w:val="24"/>
          <w:szCs w:val="24"/>
        </w:rPr>
        <w:t>p</w:t>
      </w:r>
      <w:r w:rsidR="00893AD2">
        <w:rPr>
          <w:rFonts w:ascii="Times New Roman" w:hAnsi="Times New Roman" w:cs="Times New Roman"/>
          <w:sz w:val="24"/>
          <w:szCs w:val="24"/>
        </w:rPr>
        <w:t xml:space="preserve"> &lt; 0.001; 2020: </w:t>
      </w:r>
      <w:r w:rsidR="00893AD2" w:rsidRPr="00893AD2">
        <w:rPr>
          <w:rFonts w:ascii="Times New Roman" w:hAnsi="Times New Roman" w:cs="Times New Roman"/>
          <w:i/>
          <w:iCs/>
          <w:sz w:val="24"/>
          <w:szCs w:val="24"/>
        </w:rPr>
        <w:t>t</w:t>
      </w:r>
      <w:r w:rsidR="00893AD2">
        <w:rPr>
          <w:rFonts w:ascii="Times New Roman" w:hAnsi="Times New Roman" w:cs="Times New Roman"/>
          <w:sz w:val="24"/>
          <w:szCs w:val="24"/>
        </w:rPr>
        <w:t xml:space="preserve"> = 4.74, </w:t>
      </w:r>
      <w:r w:rsidR="00893AD2" w:rsidRPr="00893AD2">
        <w:rPr>
          <w:rFonts w:ascii="Times New Roman" w:hAnsi="Times New Roman" w:cs="Times New Roman"/>
          <w:i/>
          <w:iCs/>
          <w:sz w:val="24"/>
          <w:szCs w:val="24"/>
        </w:rPr>
        <w:t>p</w:t>
      </w:r>
      <w:r w:rsidR="00893AD2">
        <w:rPr>
          <w:rFonts w:ascii="Times New Roman" w:hAnsi="Times New Roman" w:cs="Times New Roman"/>
          <w:sz w:val="24"/>
          <w:szCs w:val="24"/>
        </w:rPr>
        <w:t xml:space="preserve"> &lt; 0.0</w:t>
      </w:r>
      <w:r w:rsidR="00A733D4">
        <w:rPr>
          <w:rFonts w:ascii="Times New Roman" w:hAnsi="Times New Roman" w:cs="Times New Roman"/>
          <w:sz w:val="24"/>
          <w:szCs w:val="24"/>
        </w:rPr>
        <w:t>0</w:t>
      </w:r>
      <w:r w:rsidR="00893AD2">
        <w:rPr>
          <w:rFonts w:ascii="Times New Roman" w:hAnsi="Times New Roman" w:cs="Times New Roman"/>
          <w:sz w:val="24"/>
          <w:szCs w:val="24"/>
        </w:rPr>
        <w:t xml:space="preserve">1; 2021: </w:t>
      </w:r>
      <w:r w:rsidR="00893AD2" w:rsidRPr="00A45B4C">
        <w:rPr>
          <w:rFonts w:ascii="Times New Roman" w:hAnsi="Times New Roman" w:cs="Times New Roman"/>
          <w:i/>
          <w:iCs/>
          <w:sz w:val="24"/>
          <w:szCs w:val="24"/>
        </w:rPr>
        <w:t>t</w:t>
      </w:r>
      <w:r w:rsidR="00893AD2">
        <w:rPr>
          <w:rFonts w:ascii="Times New Roman" w:hAnsi="Times New Roman" w:cs="Times New Roman"/>
          <w:sz w:val="24"/>
          <w:szCs w:val="24"/>
        </w:rPr>
        <w:t xml:space="preserve"> = 6.60, </w:t>
      </w:r>
      <w:r w:rsidR="00893AD2" w:rsidRPr="00A45B4C">
        <w:rPr>
          <w:rFonts w:ascii="Times New Roman" w:hAnsi="Times New Roman" w:cs="Times New Roman"/>
          <w:i/>
          <w:iCs/>
          <w:sz w:val="24"/>
          <w:szCs w:val="24"/>
        </w:rPr>
        <w:t>p</w:t>
      </w:r>
      <w:r w:rsidR="00893AD2">
        <w:rPr>
          <w:rFonts w:ascii="Times New Roman" w:hAnsi="Times New Roman" w:cs="Times New Roman"/>
          <w:sz w:val="24"/>
          <w:szCs w:val="24"/>
        </w:rPr>
        <w:t xml:space="preserve"> </w:t>
      </w:r>
      <w:r w:rsidR="00A45B4C">
        <w:rPr>
          <w:rFonts w:ascii="Times New Roman" w:hAnsi="Times New Roman" w:cs="Times New Roman"/>
          <w:sz w:val="24"/>
          <w:szCs w:val="24"/>
        </w:rPr>
        <w:t>&lt; 0.001</w:t>
      </w:r>
      <w:r w:rsidR="00893AD2">
        <w:rPr>
          <w:rFonts w:ascii="Times New Roman" w:hAnsi="Times New Roman" w:cs="Times New Roman"/>
          <w:sz w:val="24"/>
          <w:szCs w:val="24"/>
        </w:rPr>
        <w:t>)</w:t>
      </w:r>
      <w:r w:rsidR="00845724">
        <w:rPr>
          <w:rFonts w:ascii="Times New Roman" w:hAnsi="Times New Roman" w:cs="Times New Roman"/>
          <w:sz w:val="24"/>
          <w:szCs w:val="24"/>
        </w:rPr>
        <w:t>, and interaction terms for VAI with year</w:t>
      </w:r>
      <w:r w:rsidR="00A45B4C">
        <w:rPr>
          <w:rFonts w:ascii="Times New Roman" w:hAnsi="Times New Roman" w:cs="Times New Roman"/>
          <w:sz w:val="24"/>
          <w:szCs w:val="24"/>
        </w:rPr>
        <w:t xml:space="preserve"> (VAI*2019: </w:t>
      </w:r>
      <w:r w:rsidR="00A45B4C" w:rsidRPr="00893AD2">
        <w:rPr>
          <w:rFonts w:ascii="Times New Roman" w:hAnsi="Times New Roman" w:cs="Times New Roman"/>
          <w:i/>
          <w:iCs/>
          <w:sz w:val="24"/>
          <w:szCs w:val="24"/>
        </w:rPr>
        <w:t>t</w:t>
      </w:r>
      <w:r w:rsidR="00A45B4C">
        <w:rPr>
          <w:rFonts w:ascii="Times New Roman" w:hAnsi="Times New Roman" w:cs="Times New Roman"/>
          <w:sz w:val="24"/>
          <w:szCs w:val="24"/>
        </w:rPr>
        <w:t xml:space="preserve"> = -2.33, </w:t>
      </w:r>
      <w:r w:rsidR="00A45B4C" w:rsidRPr="00893AD2">
        <w:rPr>
          <w:rFonts w:ascii="Times New Roman" w:hAnsi="Times New Roman" w:cs="Times New Roman"/>
          <w:i/>
          <w:iCs/>
          <w:sz w:val="24"/>
          <w:szCs w:val="24"/>
        </w:rPr>
        <w:t>p</w:t>
      </w:r>
      <w:r w:rsidR="00A45B4C">
        <w:rPr>
          <w:rFonts w:ascii="Times New Roman" w:hAnsi="Times New Roman" w:cs="Times New Roman"/>
          <w:sz w:val="24"/>
          <w:szCs w:val="24"/>
        </w:rPr>
        <w:t xml:space="preserve"> = 0.02; VAI*2020: </w:t>
      </w:r>
      <w:r w:rsidR="00A45B4C" w:rsidRPr="00893AD2">
        <w:rPr>
          <w:rFonts w:ascii="Times New Roman" w:hAnsi="Times New Roman" w:cs="Times New Roman"/>
          <w:i/>
          <w:iCs/>
          <w:sz w:val="24"/>
          <w:szCs w:val="24"/>
        </w:rPr>
        <w:t>t</w:t>
      </w:r>
      <w:r w:rsidR="00A45B4C">
        <w:rPr>
          <w:rFonts w:ascii="Times New Roman" w:hAnsi="Times New Roman" w:cs="Times New Roman"/>
          <w:sz w:val="24"/>
          <w:szCs w:val="24"/>
        </w:rPr>
        <w:t xml:space="preserve"> = -3.49, </w:t>
      </w:r>
      <w:r w:rsidR="00A45B4C" w:rsidRPr="00893AD2">
        <w:rPr>
          <w:rFonts w:ascii="Times New Roman" w:hAnsi="Times New Roman" w:cs="Times New Roman"/>
          <w:i/>
          <w:iCs/>
          <w:sz w:val="24"/>
          <w:szCs w:val="24"/>
        </w:rPr>
        <w:t>p</w:t>
      </w:r>
      <w:r w:rsidR="00A45B4C">
        <w:rPr>
          <w:rFonts w:ascii="Times New Roman" w:hAnsi="Times New Roman" w:cs="Times New Roman"/>
          <w:sz w:val="24"/>
          <w:szCs w:val="24"/>
        </w:rPr>
        <w:t xml:space="preserve"> &lt; 0.001; VAI*2021: </w:t>
      </w:r>
      <w:r w:rsidR="00A45B4C" w:rsidRPr="00A45B4C">
        <w:rPr>
          <w:rFonts w:ascii="Times New Roman" w:hAnsi="Times New Roman" w:cs="Times New Roman"/>
          <w:i/>
          <w:iCs/>
          <w:sz w:val="24"/>
          <w:szCs w:val="24"/>
        </w:rPr>
        <w:t>t</w:t>
      </w:r>
      <w:r w:rsidR="00A45B4C">
        <w:rPr>
          <w:rFonts w:ascii="Times New Roman" w:hAnsi="Times New Roman" w:cs="Times New Roman"/>
          <w:sz w:val="24"/>
          <w:szCs w:val="24"/>
        </w:rPr>
        <w:t xml:space="preserve"> = -5.32, </w:t>
      </w:r>
      <w:r w:rsidR="00A45B4C" w:rsidRPr="00A45B4C">
        <w:rPr>
          <w:rFonts w:ascii="Times New Roman" w:hAnsi="Times New Roman" w:cs="Times New Roman"/>
          <w:i/>
          <w:iCs/>
          <w:sz w:val="24"/>
          <w:szCs w:val="24"/>
        </w:rPr>
        <w:t>p</w:t>
      </w:r>
      <w:r w:rsidR="00A45B4C">
        <w:rPr>
          <w:rFonts w:ascii="Times New Roman" w:hAnsi="Times New Roman" w:cs="Times New Roman"/>
          <w:sz w:val="24"/>
          <w:szCs w:val="24"/>
        </w:rPr>
        <w:t xml:space="preserve"> &lt; 0.001)</w:t>
      </w:r>
      <w:r w:rsidR="00845724">
        <w:rPr>
          <w:rFonts w:ascii="Times New Roman" w:hAnsi="Times New Roman" w:cs="Times New Roman"/>
          <w:sz w:val="24"/>
          <w:szCs w:val="24"/>
        </w:rPr>
        <w:t xml:space="preserve"> </w:t>
      </w:r>
      <w:r w:rsidR="00FF0E0D">
        <w:rPr>
          <w:rFonts w:ascii="Times New Roman" w:hAnsi="Times New Roman" w:cs="Times New Roman"/>
          <w:sz w:val="24"/>
          <w:szCs w:val="24"/>
        </w:rPr>
        <w:t>were all statistically significant (</w:t>
      </w:r>
      <w:proofErr w:type="spellStart"/>
      <w:r w:rsidR="001848D6">
        <w:rPr>
          <w:rFonts w:ascii="Times New Roman" w:hAnsi="Times New Roman" w:cs="Times New Roman"/>
          <w:sz w:val="24"/>
          <w:szCs w:val="24"/>
        </w:rPr>
        <w:t>AICc</w:t>
      </w:r>
      <w:proofErr w:type="spellEnd"/>
      <w:r w:rsidR="001848D6">
        <w:rPr>
          <w:rFonts w:ascii="Times New Roman" w:hAnsi="Times New Roman" w:cs="Times New Roman"/>
          <w:sz w:val="24"/>
          <w:szCs w:val="24"/>
        </w:rPr>
        <w:t xml:space="preserve"> = </w:t>
      </w:r>
      <w:r w:rsidR="00C43EA9">
        <w:rPr>
          <w:rFonts w:ascii="Times New Roman" w:hAnsi="Times New Roman" w:cs="Times New Roman"/>
          <w:sz w:val="24"/>
          <w:szCs w:val="24"/>
        </w:rPr>
        <w:t>405.96</w:t>
      </w:r>
      <w:r w:rsidR="001848D6">
        <w:rPr>
          <w:rFonts w:ascii="Times New Roman" w:hAnsi="Times New Roman" w:cs="Times New Roman"/>
          <w:sz w:val="24"/>
          <w:szCs w:val="24"/>
        </w:rPr>
        <w:t>,</w:t>
      </w:r>
      <w:r w:rsidR="00C43EA9">
        <w:rPr>
          <w:rFonts w:ascii="Times New Roman" w:hAnsi="Times New Roman" w:cs="Times New Roman"/>
          <w:sz w:val="24"/>
          <w:szCs w:val="24"/>
        </w:rPr>
        <w:t xml:space="preserve"> </w:t>
      </w:r>
      <w:r w:rsidR="00FF0E0D">
        <w:rPr>
          <w:rFonts w:ascii="Times New Roman" w:hAnsi="Times New Roman" w:cs="Times New Roman"/>
          <w:sz w:val="24"/>
          <w:szCs w:val="24"/>
        </w:rPr>
        <w:t xml:space="preserve">Table </w:t>
      </w:r>
      <w:r w:rsidR="00A45B4C">
        <w:rPr>
          <w:rFonts w:ascii="Times New Roman" w:hAnsi="Times New Roman" w:cs="Times New Roman"/>
          <w:sz w:val="24"/>
          <w:szCs w:val="24"/>
        </w:rPr>
        <w:t>S</w:t>
      </w:r>
      <w:r w:rsidR="00FF0E0D">
        <w:rPr>
          <w:rFonts w:ascii="Times New Roman" w:hAnsi="Times New Roman" w:cs="Times New Roman"/>
          <w:sz w:val="24"/>
          <w:szCs w:val="24"/>
        </w:rPr>
        <w:t>X)</w:t>
      </w:r>
      <w:r w:rsidR="00A45B4C">
        <w:rPr>
          <w:rFonts w:ascii="Times New Roman" w:hAnsi="Times New Roman" w:cs="Times New Roman"/>
          <w:sz w:val="24"/>
          <w:szCs w:val="24"/>
        </w:rPr>
        <w:t xml:space="preserve">, providing strong support for the hypothesized negative relationship between canopy VAI and subcanopy </w:t>
      </w:r>
      <w:proofErr w:type="spellStart"/>
      <w:r w:rsidR="00A45B4C">
        <w:rPr>
          <w:rFonts w:ascii="Times New Roman" w:hAnsi="Times New Roman" w:cs="Times New Roman"/>
          <w:sz w:val="24"/>
          <w:szCs w:val="24"/>
        </w:rPr>
        <w:t>A</w:t>
      </w:r>
      <w:r w:rsidR="00A45B4C" w:rsidRPr="00A45B4C">
        <w:rPr>
          <w:rFonts w:ascii="Times New Roman" w:hAnsi="Times New Roman" w:cs="Times New Roman"/>
          <w:sz w:val="24"/>
          <w:szCs w:val="24"/>
          <w:vertAlign w:val="subscript"/>
        </w:rPr>
        <w:t>sat</w:t>
      </w:r>
      <w:proofErr w:type="spellEnd"/>
      <w:r w:rsidR="00A45B4C">
        <w:rPr>
          <w:rFonts w:ascii="Times New Roman" w:hAnsi="Times New Roman" w:cs="Times New Roman"/>
          <w:sz w:val="24"/>
          <w:szCs w:val="24"/>
        </w:rPr>
        <w:t xml:space="preserve">. Post hoc pairwise comparison indicated that regression slopes for all </w:t>
      </w:r>
      <w:r w:rsidR="00B25454">
        <w:rPr>
          <w:rFonts w:ascii="Times New Roman" w:hAnsi="Times New Roman" w:cs="Times New Roman"/>
          <w:sz w:val="24"/>
          <w:szCs w:val="24"/>
        </w:rPr>
        <w:t xml:space="preserve">three </w:t>
      </w:r>
      <w:proofErr w:type="spellStart"/>
      <w:r w:rsidR="00A45B4C">
        <w:rPr>
          <w:rFonts w:ascii="Times New Roman" w:hAnsi="Times New Roman" w:cs="Times New Roman"/>
          <w:sz w:val="24"/>
          <w:szCs w:val="24"/>
        </w:rPr>
        <w:t>years</w:t>
      </w:r>
      <w:proofErr w:type="spellEnd"/>
      <w:r w:rsidR="00A45B4C">
        <w:rPr>
          <w:rFonts w:ascii="Times New Roman" w:hAnsi="Times New Roman" w:cs="Times New Roman"/>
          <w:sz w:val="24"/>
          <w:szCs w:val="24"/>
        </w:rPr>
        <w:t xml:space="preserve"> post-disturbance (2019-2021) were </w:t>
      </w:r>
      <w:r w:rsidR="00440AD0">
        <w:rPr>
          <w:rFonts w:ascii="Times New Roman" w:hAnsi="Times New Roman" w:cs="Times New Roman"/>
          <w:sz w:val="24"/>
          <w:szCs w:val="24"/>
        </w:rPr>
        <w:t xml:space="preserve">significantly different from the pre-disturbance slope (2018; </w:t>
      </w:r>
      <w:r w:rsidR="00440AD0" w:rsidRPr="00440AD0">
        <w:rPr>
          <w:rFonts w:ascii="Times New Roman" w:hAnsi="Times New Roman" w:cs="Times New Roman"/>
          <w:i/>
          <w:iCs/>
          <w:sz w:val="24"/>
          <w:szCs w:val="24"/>
        </w:rPr>
        <w:t>p</w:t>
      </w:r>
      <w:r w:rsidR="00440AD0">
        <w:rPr>
          <w:rFonts w:ascii="Times New Roman" w:hAnsi="Times New Roman" w:cs="Times New Roman"/>
          <w:sz w:val="24"/>
          <w:szCs w:val="24"/>
        </w:rPr>
        <w:t xml:space="preserve"> &lt; 0.001), though not from each other (Fig. </w:t>
      </w:r>
      <w:r w:rsidR="00B13458">
        <w:rPr>
          <w:rFonts w:ascii="Times New Roman" w:hAnsi="Times New Roman" w:cs="Times New Roman"/>
          <w:sz w:val="24"/>
          <w:szCs w:val="24"/>
        </w:rPr>
        <w:t>4</w:t>
      </w:r>
      <w:r w:rsidR="00440AD0">
        <w:rPr>
          <w:rFonts w:ascii="Times New Roman" w:hAnsi="Times New Roman" w:cs="Times New Roman"/>
          <w:sz w:val="24"/>
          <w:szCs w:val="24"/>
        </w:rPr>
        <w:t xml:space="preserve"> a).</w:t>
      </w:r>
      <w:r w:rsidR="0069326E">
        <w:rPr>
          <w:rFonts w:ascii="Times New Roman" w:hAnsi="Times New Roman" w:cs="Times New Roman"/>
          <w:sz w:val="24"/>
          <w:szCs w:val="24"/>
        </w:rPr>
        <w:t xml:space="preserve"> In the </w:t>
      </w:r>
      <w:proofErr w:type="spellStart"/>
      <w:r w:rsidR="0069326E">
        <w:rPr>
          <w:rFonts w:ascii="Times New Roman" w:hAnsi="Times New Roman" w:cs="Times New Roman"/>
          <w:sz w:val="24"/>
          <w:szCs w:val="24"/>
        </w:rPr>
        <w:t>A</w:t>
      </w:r>
      <w:r w:rsidR="0069326E" w:rsidRPr="000F4CCE">
        <w:rPr>
          <w:rFonts w:ascii="Times New Roman" w:hAnsi="Times New Roman" w:cs="Times New Roman"/>
          <w:sz w:val="24"/>
          <w:szCs w:val="24"/>
          <w:vertAlign w:val="subscript"/>
        </w:rPr>
        <w:t>sat</w:t>
      </w:r>
      <w:proofErr w:type="spellEnd"/>
      <w:r w:rsidR="0069326E">
        <w:rPr>
          <w:rFonts w:ascii="Times New Roman" w:hAnsi="Times New Roman" w:cs="Times New Roman"/>
          <w:sz w:val="24"/>
          <w:szCs w:val="24"/>
        </w:rPr>
        <w:t xml:space="preserve"> model, the random effect of replicate was found to contribute nearly a third of the total variance (29.8 %)</w:t>
      </w:r>
      <w:r w:rsidR="000F4CCE">
        <w:rPr>
          <w:rFonts w:ascii="Times New Roman" w:hAnsi="Times New Roman" w:cs="Times New Roman"/>
          <w:sz w:val="24"/>
          <w:szCs w:val="24"/>
        </w:rPr>
        <w:t xml:space="preserve">, suggesting ecologically meaningful differences in CWM </w:t>
      </w:r>
      <w:proofErr w:type="spellStart"/>
      <w:r w:rsidR="000F4CCE">
        <w:rPr>
          <w:rFonts w:ascii="Times New Roman" w:hAnsi="Times New Roman" w:cs="Times New Roman"/>
          <w:sz w:val="24"/>
          <w:szCs w:val="24"/>
        </w:rPr>
        <w:t>A</w:t>
      </w:r>
      <w:r w:rsidR="000F4CCE" w:rsidRPr="000F4CCE">
        <w:rPr>
          <w:rFonts w:ascii="Times New Roman" w:hAnsi="Times New Roman" w:cs="Times New Roman"/>
          <w:sz w:val="24"/>
          <w:szCs w:val="24"/>
          <w:vertAlign w:val="subscript"/>
        </w:rPr>
        <w:t>sat</w:t>
      </w:r>
      <w:proofErr w:type="spellEnd"/>
      <w:r w:rsidR="000F4CCE">
        <w:rPr>
          <w:rFonts w:ascii="Times New Roman" w:hAnsi="Times New Roman" w:cs="Times New Roman"/>
          <w:sz w:val="24"/>
          <w:szCs w:val="24"/>
        </w:rPr>
        <w:t xml:space="preserve"> across landform types.</w:t>
      </w:r>
      <w:r w:rsidR="002B7A3B">
        <w:rPr>
          <w:rFonts w:ascii="Times New Roman" w:hAnsi="Times New Roman" w:cs="Times New Roman"/>
          <w:sz w:val="24"/>
          <w:szCs w:val="24"/>
        </w:rPr>
        <w:t xml:space="preserve"> </w:t>
      </w:r>
    </w:p>
    <w:p w14:paraId="4C52A938" w14:textId="79734370" w:rsidR="00A75DE6" w:rsidRDefault="002B7A3B" w:rsidP="00A75DE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final </w:t>
      </w:r>
      <w:r w:rsidR="004043EB">
        <w:rPr>
          <w:rFonts w:ascii="Times New Roman" w:hAnsi="Times New Roman" w:cs="Times New Roman"/>
          <w:sz w:val="24"/>
          <w:szCs w:val="24"/>
        </w:rPr>
        <w:t>model for CWM stomatal conductance (</w:t>
      </w:r>
      <w:proofErr w:type="spellStart"/>
      <w:r w:rsidR="004043EB">
        <w:rPr>
          <w:rFonts w:ascii="Times New Roman" w:hAnsi="Times New Roman" w:cs="Times New Roman"/>
          <w:sz w:val="24"/>
          <w:szCs w:val="24"/>
        </w:rPr>
        <w:t>g</w:t>
      </w:r>
      <w:r w:rsidR="004043EB" w:rsidRPr="004043EB">
        <w:rPr>
          <w:rFonts w:ascii="Times New Roman" w:hAnsi="Times New Roman" w:cs="Times New Roman"/>
          <w:sz w:val="24"/>
          <w:szCs w:val="24"/>
          <w:vertAlign w:val="subscript"/>
        </w:rPr>
        <w:t>s</w:t>
      </w:r>
      <w:proofErr w:type="spellEnd"/>
      <w:r w:rsidR="004043EB">
        <w:rPr>
          <w:rFonts w:ascii="Times New Roman" w:hAnsi="Times New Roman" w:cs="Times New Roman"/>
          <w:sz w:val="24"/>
          <w:szCs w:val="24"/>
        </w:rPr>
        <w:t>)</w:t>
      </w:r>
      <w:r>
        <w:rPr>
          <w:rFonts w:ascii="Times New Roman" w:hAnsi="Times New Roman" w:cs="Times New Roman"/>
          <w:sz w:val="24"/>
          <w:szCs w:val="24"/>
        </w:rPr>
        <w:t xml:space="preserve"> found significant main effects for years 2019 (</w:t>
      </w:r>
      <w:r w:rsidR="00EB6D15" w:rsidRPr="00EB6D15">
        <w:rPr>
          <w:rFonts w:ascii="Times New Roman" w:hAnsi="Times New Roman" w:cs="Times New Roman"/>
          <w:i/>
          <w:iCs/>
          <w:sz w:val="24"/>
          <w:szCs w:val="24"/>
        </w:rPr>
        <w:t xml:space="preserve">t </w:t>
      </w:r>
      <w:r w:rsidR="00EB6D15">
        <w:rPr>
          <w:rFonts w:ascii="Times New Roman" w:hAnsi="Times New Roman" w:cs="Times New Roman"/>
          <w:sz w:val="24"/>
          <w:szCs w:val="24"/>
        </w:rPr>
        <w:t>= 2.20</w:t>
      </w:r>
      <w:r>
        <w:rPr>
          <w:rFonts w:ascii="Times New Roman" w:hAnsi="Times New Roman" w:cs="Times New Roman"/>
          <w:sz w:val="24"/>
          <w:szCs w:val="24"/>
        </w:rPr>
        <w:t xml:space="preserve">, </w:t>
      </w:r>
      <w:r w:rsidR="00EB6D15" w:rsidRPr="00EB6D15">
        <w:rPr>
          <w:rFonts w:ascii="Times New Roman" w:hAnsi="Times New Roman" w:cs="Times New Roman"/>
          <w:i/>
          <w:iCs/>
          <w:sz w:val="24"/>
          <w:szCs w:val="24"/>
        </w:rPr>
        <w:t>p</w:t>
      </w:r>
      <w:r w:rsidR="00EB6D15">
        <w:rPr>
          <w:rFonts w:ascii="Times New Roman" w:hAnsi="Times New Roman" w:cs="Times New Roman"/>
          <w:sz w:val="24"/>
          <w:szCs w:val="24"/>
        </w:rPr>
        <w:t xml:space="preserve"> = 0.03</w:t>
      </w:r>
      <w:r>
        <w:rPr>
          <w:rFonts w:ascii="Times New Roman" w:hAnsi="Times New Roman" w:cs="Times New Roman"/>
          <w:sz w:val="24"/>
          <w:szCs w:val="24"/>
        </w:rPr>
        <w:t xml:space="preserve">), 2020 </w:t>
      </w:r>
      <w:r w:rsidR="00EB6D15">
        <w:rPr>
          <w:rFonts w:ascii="Times New Roman" w:hAnsi="Times New Roman" w:cs="Times New Roman"/>
          <w:sz w:val="24"/>
          <w:szCs w:val="24"/>
        </w:rPr>
        <w:t>(</w:t>
      </w:r>
      <w:r w:rsidR="00EB6D15" w:rsidRPr="00EB6D15">
        <w:rPr>
          <w:rFonts w:ascii="Times New Roman" w:hAnsi="Times New Roman" w:cs="Times New Roman"/>
          <w:i/>
          <w:iCs/>
          <w:sz w:val="24"/>
          <w:szCs w:val="24"/>
        </w:rPr>
        <w:t xml:space="preserve">t </w:t>
      </w:r>
      <w:r w:rsidR="00EB6D15">
        <w:rPr>
          <w:rFonts w:ascii="Times New Roman" w:hAnsi="Times New Roman" w:cs="Times New Roman"/>
          <w:sz w:val="24"/>
          <w:szCs w:val="24"/>
        </w:rPr>
        <w:t xml:space="preserve">= 3.04, </w:t>
      </w:r>
      <w:r w:rsidR="00EB6D15" w:rsidRPr="00EB6D15">
        <w:rPr>
          <w:rFonts w:ascii="Times New Roman" w:hAnsi="Times New Roman" w:cs="Times New Roman"/>
          <w:i/>
          <w:iCs/>
          <w:sz w:val="24"/>
          <w:szCs w:val="24"/>
        </w:rPr>
        <w:t>p</w:t>
      </w:r>
      <w:r w:rsidR="00EB6D15">
        <w:rPr>
          <w:rFonts w:ascii="Times New Roman" w:hAnsi="Times New Roman" w:cs="Times New Roman"/>
          <w:sz w:val="24"/>
          <w:szCs w:val="24"/>
        </w:rPr>
        <w:t xml:space="preserve"> = 0.003)</w:t>
      </w:r>
      <w:r>
        <w:rPr>
          <w:rFonts w:ascii="Times New Roman" w:hAnsi="Times New Roman" w:cs="Times New Roman"/>
          <w:sz w:val="24"/>
          <w:szCs w:val="24"/>
        </w:rPr>
        <w:t xml:space="preserve"> and 2021</w:t>
      </w:r>
      <w:r w:rsidR="00EB6D15">
        <w:rPr>
          <w:rFonts w:ascii="Times New Roman" w:hAnsi="Times New Roman" w:cs="Times New Roman"/>
          <w:sz w:val="24"/>
          <w:szCs w:val="24"/>
        </w:rPr>
        <w:t xml:space="preserve"> (</w:t>
      </w:r>
      <w:r w:rsidR="00EB6D15" w:rsidRPr="00EB6D15">
        <w:rPr>
          <w:rFonts w:ascii="Times New Roman" w:hAnsi="Times New Roman" w:cs="Times New Roman"/>
          <w:i/>
          <w:iCs/>
          <w:sz w:val="24"/>
          <w:szCs w:val="24"/>
        </w:rPr>
        <w:t xml:space="preserve">t </w:t>
      </w:r>
      <w:r w:rsidR="00EB6D15">
        <w:rPr>
          <w:rFonts w:ascii="Times New Roman" w:hAnsi="Times New Roman" w:cs="Times New Roman"/>
          <w:sz w:val="24"/>
          <w:szCs w:val="24"/>
        </w:rPr>
        <w:t xml:space="preserve">= 4.11, </w:t>
      </w:r>
      <w:r w:rsidR="00EB6D15" w:rsidRPr="00EB6D15">
        <w:rPr>
          <w:rFonts w:ascii="Times New Roman" w:hAnsi="Times New Roman" w:cs="Times New Roman"/>
          <w:i/>
          <w:iCs/>
          <w:sz w:val="24"/>
          <w:szCs w:val="24"/>
        </w:rPr>
        <w:t>p</w:t>
      </w:r>
      <w:r w:rsidR="00EB6D15">
        <w:rPr>
          <w:rFonts w:ascii="Times New Roman" w:hAnsi="Times New Roman" w:cs="Times New Roman"/>
          <w:sz w:val="24"/>
          <w:szCs w:val="24"/>
        </w:rPr>
        <w:t xml:space="preserve"> &lt; 0.001)</w:t>
      </w:r>
      <w:r>
        <w:rPr>
          <w:rFonts w:ascii="Times New Roman" w:hAnsi="Times New Roman" w:cs="Times New Roman"/>
          <w:sz w:val="24"/>
          <w:szCs w:val="24"/>
        </w:rPr>
        <w:t>, as well as a</w:t>
      </w:r>
      <w:r w:rsidR="00E5026E">
        <w:rPr>
          <w:rFonts w:ascii="Times New Roman" w:hAnsi="Times New Roman" w:cs="Times New Roman"/>
          <w:sz w:val="24"/>
          <w:szCs w:val="24"/>
        </w:rPr>
        <w:t xml:space="preserve"> moderately significant interaction for VAI*2020 (</w:t>
      </w:r>
      <w:r w:rsidR="00E5026E" w:rsidRPr="00EB6D15">
        <w:rPr>
          <w:rFonts w:ascii="Times New Roman" w:hAnsi="Times New Roman" w:cs="Times New Roman"/>
          <w:i/>
          <w:iCs/>
          <w:sz w:val="24"/>
          <w:szCs w:val="24"/>
        </w:rPr>
        <w:t xml:space="preserve">t </w:t>
      </w:r>
      <w:r w:rsidR="00E5026E">
        <w:rPr>
          <w:rFonts w:ascii="Times New Roman" w:hAnsi="Times New Roman" w:cs="Times New Roman"/>
          <w:sz w:val="24"/>
          <w:szCs w:val="24"/>
        </w:rPr>
        <w:t xml:space="preserve">= -1.81, </w:t>
      </w:r>
      <w:r w:rsidR="00E5026E" w:rsidRPr="00EB6D15">
        <w:rPr>
          <w:rFonts w:ascii="Times New Roman" w:hAnsi="Times New Roman" w:cs="Times New Roman"/>
          <w:i/>
          <w:iCs/>
          <w:sz w:val="24"/>
          <w:szCs w:val="24"/>
        </w:rPr>
        <w:t>p</w:t>
      </w:r>
      <w:r w:rsidR="00E5026E">
        <w:rPr>
          <w:rFonts w:ascii="Times New Roman" w:hAnsi="Times New Roman" w:cs="Times New Roman"/>
          <w:sz w:val="24"/>
          <w:szCs w:val="24"/>
        </w:rPr>
        <w:t xml:space="preserve"> = 0.07) and a</w:t>
      </w:r>
      <w:r>
        <w:rPr>
          <w:rFonts w:ascii="Times New Roman" w:hAnsi="Times New Roman" w:cs="Times New Roman"/>
          <w:sz w:val="24"/>
          <w:szCs w:val="24"/>
        </w:rPr>
        <w:t xml:space="preserve"> </w:t>
      </w:r>
      <w:r w:rsidR="00E5026E">
        <w:rPr>
          <w:rFonts w:ascii="Times New Roman" w:hAnsi="Times New Roman" w:cs="Times New Roman"/>
          <w:sz w:val="24"/>
          <w:szCs w:val="24"/>
        </w:rPr>
        <w:t xml:space="preserve">highly </w:t>
      </w:r>
      <w:r>
        <w:rPr>
          <w:rFonts w:ascii="Times New Roman" w:hAnsi="Times New Roman" w:cs="Times New Roman"/>
          <w:sz w:val="24"/>
          <w:szCs w:val="24"/>
        </w:rPr>
        <w:t xml:space="preserve">significant interaction for VAI*2021 </w:t>
      </w:r>
      <w:r w:rsidR="00EB6D15">
        <w:rPr>
          <w:rFonts w:ascii="Times New Roman" w:hAnsi="Times New Roman" w:cs="Times New Roman"/>
          <w:sz w:val="24"/>
          <w:szCs w:val="24"/>
        </w:rPr>
        <w:t>(</w:t>
      </w:r>
      <w:r w:rsidR="00EB6D15" w:rsidRPr="00EB6D15">
        <w:rPr>
          <w:rFonts w:ascii="Times New Roman" w:hAnsi="Times New Roman" w:cs="Times New Roman"/>
          <w:i/>
          <w:iCs/>
          <w:sz w:val="24"/>
          <w:szCs w:val="24"/>
        </w:rPr>
        <w:t xml:space="preserve">t </w:t>
      </w:r>
      <w:r w:rsidR="00EB6D15">
        <w:rPr>
          <w:rFonts w:ascii="Times New Roman" w:hAnsi="Times New Roman" w:cs="Times New Roman"/>
          <w:sz w:val="24"/>
          <w:szCs w:val="24"/>
        </w:rPr>
        <w:t xml:space="preserve">= -2.31, </w:t>
      </w:r>
      <w:r w:rsidR="00EB6D15" w:rsidRPr="00EB6D15">
        <w:rPr>
          <w:rFonts w:ascii="Times New Roman" w:hAnsi="Times New Roman" w:cs="Times New Roman"/>
          <w:i/>
          <w:iCs/>
          <w:sz w:val="24"/>
          <w:szCs w:val="24"/>
        </w:rPr>
        <w:t>p</w:t>
      </w:r>
      <w:r w:rsidR="00EB6D15">
        <w:rPr>
          <w:rFonts w:ascii="Times New Roman" w:hAnsi="Times New Roman" w:cs="Times New Roman"/>
          <w:sz w:val="24"/>
          <w:szCs w:val="24"/>
        </w:rPr>
        <w:t xml:space="preserve"> = 0.02</w:t>
      </w:r>
      <w:r w:rsidR="006476D2">
        <w:rPr>
          <w:rFonts w:ascii="Times New Roman" w:hAnsi="Times New Roman" w:cs="Times New Roman"/>
          <w:sz w:val="24"/>
          <w:szCs w:val="24"/>
        </w:rPr>
        <w:t>;</w:t>
      </w:r>
      <w:r w:rsidR="00B07105">
        <w:rPr>
          <w:rFonts w:ascii="Times New Roman" w:hAnsi="Times New Roman" w:cs="Times New Roman"/>
          <w:sz w:val="24"/>
          <w:szCs w:val="24"/>
        </w:rPr>
        <w:t xml:space="preserve"> </w:t>
      </w:r>
      <w:proofErr w:type="spellStart"/>
      <w:r w:rsidR="00B07105">
        <w:rPr>
          <w:rFonts w:ascii="Times New Roman" w:hAnsi="Times New Roman" w:cs="Times New Roman"/>
          <w:sz w:val="24"/>
          <w:szCs w:val="24"/>
        </w:rPr>
        <w:t>AIC</w:t>
      </w:r>
      <w:r w:rsidR="00B07105" w:rsidRPr="00C43EA9">
        <w:rPr>
          <w:rFonts w:ascii="Times New Roman" w:hAnsi="Times New Roman" w:cs="Times New Roman"/>
          <w:sz w:val="24"/>
          <w:szCs w:val="24"/>
        </w:rPr>
        <w:t>c</w:t>
      </w:r>
      <w:proofErr w:type="spellEnd"/>
      <w:r w:rsidR="00B07105">
        <w:rPr>
          <w:rFonts w:ascii="Times New Roman" w:hAnsi="Times New Roman" w:cs="Times New Roman"/>
          <w:sz w:val="24"/>
          <w:szCs w:val="24"/>
        </w:rPr>
        <w:t xml:space="preserve"> = </w:t>
      </w:r>
      <w:r w:rsidR="00E5026E">
        <w:rPr>
          <w:rFonts w:ascii="Times New Roman" w:hAnsi="Times New Roman" w:cs="Times New Roman"/>
          <w:sz w:val="24"/>
          <w:szCs w:val="24"/>
        </w:rPr>
        <w:t>-538.23</w:t>
      </w:r>
      <w:r w:rsidR="00B07105">
        <w:rPr>
          <w:rFonts w:ascii="Times New Roman" w:hAnsi="Times New Roman" w:cs="Times New Roman"/>
          <w:sz w:val="24"/>
          <w:szCs w:val="24"/>
        </w:rPr>
        <w:t>;</w:t>
      </w:r>
      <w:r w:rsidR="006476D2">
        <w:rPr>
          <w:rFonts w:ascii="Times New Roman" w:hAnsi="Times New Roman" w:cs="Times New Roman"/>
          <w:sz w:val="24"/>
          <w:szCs w:val="24"/>
        </w:rPr>
        <w:t xml:space="preserve"> Fig. </w:t>
      </w:r>
      <w:r w:rsidR="00B13458">
        <w:rPr>
          <w:rFonts w:ascii="Times New Roman" w:hAnsi="Times New Roman" w:cs="Times New Roman"/>
          <w:sz w:val="24"/>
          <w:szCs w:val="24"/>
        </w:rPr>
        <w:t>4</w:t>
      </w:r>
      <w:r w:rsidR="006476D2">
        <w:rPr>
          <w:rFonts w:ascii="Times New Roman" w:hAnsi="Times New Roman" w:cs="Times New Roman"/>
          <w:sz w:val="24"/>
          <w:szCs w:val="24"/>
        </w:rPr>
        <w:t xml:space="preserve"> </w:t>
      </w:r>
      <w:r w:rsidR="007655F9">
        <w:rPr>
          <w:rFonts w:ascii="Times New Roman" w:hAnsi="Times New Roman" w:cs="Times New Roman"/>
          <w:sz w:val="24"/>
          <w:szCs w:val="24"/>
        </w:rPr>
        <w:t>b</w:t>
      </w:r>
      <w:r w:rsidR="00EB6D15">
        <w:rPr>
          <w:rFonts w:ascii="Times New Roman" w:hAnsi="Times New Roman" w:cs="Times New Roman"/>
          <w:sz w:val="24"/>
          <w:szCs w:val="24"/>
        </w:rPr>
        <w:t>)</w:t>
      </w:r>
      <w:r w:rsidR="00E5026E">
        <w:rPr>
          <w:rFonts w:ascii="Times New Roman" w:hAnsi="Times New Roman" w:cs="Times New Roman"/>
          <w:sz w:val="24"/>
          <w:szCs w:val="24"/>
        </w:rPr>
        <w:t>. Our final model</w:t>
      </w:r>
      <w:r>
        <w:rPr>
          <w:rFonts w:ascii="Times New Roman" w:hAnsi="Times New Roman" w:cs="Times New Roman"/>
          <w:sz w:val="24"/>
          <w:szCs w:val="24"/>
        </w:rPr>
        <w:t xml:space="preserve"> did not retain replicate </w:t>
      </w:r>
      <w:r w:rsidR="006476D2">
        <w:rPr>
          <w:rFonts w:ascii="Times New Roman" w:hAnsi="Times New Roman" w:cs="Times New Roman"/>
          <w:sz w:val="24"/>
          <w:szCs w:val="24"/>
        </w:rPr>
        <w:t>as a random effect due to a variance component estimate of 0 for this term</w:t>
      </w:r>
      <w:r w:rsidR="00E5026E">
        <w:rPr>
          <w:rFonts w:ascii="Times New Roman" w:hAnsi="Times New Roman" w:cs="Times New Roman"/>
          <w:sz w:val="24"/>
          <w:szCs w:val="24"/>
        </w:rPr>
        <w:t>, and a resulting singular fit error when the random effect term was included</w:t>
      </w:r>
      <w:r w:rsidR="00B13458">
        <w:rPr>
          <w:rFonts w:ascii="Times New Roman" w:hAnsi="Times New Roman" w:cs="Times New Roman"/>
          <w:sz w:val="24"/>
          <w:szCs w:val="24"/>
        </w:rPr>
        <w:t xml:space="preserve">; thus, </w:t>
      </w:r>
      <w:r w:rsidR="00F472F2">
        <w:rPr>
          <w:rFonts w:ascii="Times New Roman" w:hAnsi="Times New Roman" w:cs="Times New Roman"/>
          <w:sz w:val="24"/>
          <w:szCs w:val="24"/>
        </w:rPr>
        <w:t>we retained a linear model with fixed effects only</w:t>
      </w:r>
      <w:r w:rsidR="00B07105">
        <w:rPr>
          <w:rFonts w:ascii="Times New Roman" w:hAnsi="Times New Roman" w:cs="Times New Roman"/>
          <w:sz w:val="24"/>
          <w:szCs w:val="24"/>
        </w:rPr>
        <w:t xml:space="preserve">. </w:t>
      </w:r>
    </w:p>
    <w:p w14:paraId="5A16D6E2" w14:textId="19D4D0E0" w:rsidR="00440AD0" w:rsidRDefault="00B07105" w:rsidP="00A75DE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model for </w:t>
      </w:r>
      <w:proofErr w:type="spellStart"/>
      <w:r>
        <w:rPr>
          <w:rFonts w:ascii="Times New Roman" w:hAnsi="Times New Roman" w:cs="Times New Roman"/>
          <w:sz w:val="24"/>
          <w:szCs w:val="24"/>
        </w:rPr>
        <w:t>reNDVI</w:t>
      </w:r>
      <w:proofErr w:type="spellEnd"/>
      <w:r>
        <w:rPr>
          <w:rFonts w:ascii="Times New Roman" w:hAnsi="Times New Roman" w:cs="Times New Roman"/>
          <w:sz w:val="24"/>
          <w:szCs w:val="24"/>
        </w:rPr>
        <w:t xml:space="preserve"> also found significant main effects of VAI (</w:t>
      </w:r>
      <w:r w:rsidRPr="00B07105">
        <w:rPr>
          <w:rFonts w:ascii="Times New Roman" w:hAnsi="Times New Roman" w:cs="Times New Roman"/>
          <w:i/>
          <w:iCs/>
          <w:sz w:val="24"/>
          <w:szCs w:val="24"/>
        </w:rPr>
        <w:t>t</w:t>
      </w:r>
      <w:r>
        <w:rPr>
          <w:rFonts w:ascii="Times New Roman" w:hAnsi="Times New Roman" w:cs="Times New Roman"/>
          <w:sz w:val="24"/>
          <w:szCs w:val="24"/>
        </w:rPr>
        <w:t xml:space="preserve"> = -2.50, </w:t>
      </w:r>
      <w:r w:rsidRPr="00B07105">
        <w:rPr>
          <w:rFonts w:ascii="Times New Roman" w:hAnsi="Times New Roman" w:cs="Times New Roman"/>
          <w:i/>
          <w:iCs/>
          <w:sz w:val="24"/>
          <w:szCs w:val="24"/>
        </w:rPr>
        <w:t>p</w:t>
      </w:r>
      <w:r>
        <w:rPr>
          <w:rFonts w:ascii="Times New Roman" w:hAnsi="Times New Roman" w:cs="Times New Roman"/>
          <w:sz w:val="24"/>
          <w:szCs w:val="24"/>
        </w:rPr>
        <w:t xml:space="preserve"> = 0.01), year (2019: </w:t>
      </w:r>
      <w:r w:rsidRPr="00B07105">
        <w:rPr>
          <w:rFonts w:ascii="Times New Roman" w:hAnsi="Times New Roman" w:cs="Times New Roman"/>
          <w:i/>
          <w:iCs/>
          <w:sz w:val="24"/>
          <w:szCs w:val="24"/>
        </w:rPr>
        <w:t>t</w:t>
      </w:r>
      <w:r>
        <w:rPr>
          <w:rFonts w:ascii="Times New Roman" w:hAnsi="Times New Roman" w:cs="Times New Roman"/>
          <w:sz w:val="24"/>
          <w:szCs w:val="24"/>
        </w:rPr>
        <w:t xml:space="preserve"> = -3.16, </w:t>
      </w:r>
      <w:r w:rsidRPr="00B07105">
        <w:rPr>
          <w:rFonts w:ascii="Times New Roman" w:hAnsi="Times New Roman" w:cs="Times New Roman"/>
          <w:i/>
          <w:iCs/>
          <w:sz w:val="24"/>
          <w:szCs w:val="24"/>
        </w:rPr>
        <w:t>p</w:t>
      </w:r>
      <w:r>
        <w:rPr>
          <w:rFonts w:ascii="Times New Roman" w:hAnsi="Times New Roman" w:cs="Times New Roman"/>
          <w:sz w:val="24"/>
          <w:szCs w:val="24"/>
        </w:rPr>
        <w:t xml:space="preserve"> = 0.002; 2020: </w:t>
      </w:r>
      <w:r w:rsidRPr="00B07105">
        <w:rPr>
          <w:rFonts w:ascii="Times New Roman" w:hAnsi="Times New Roman" w:cs="Times New Roman"/>
          <w:i/>
          <w:iCs/>
          <w:sz w:val="24"/>
          <w:szCs w:val="24"/>
        </w:rPr>
        <w:t>t</w:t>
      </w:r>
      <w:r>
        <w:rPr>
          <w:rFonts w:ascii="Times New Roman" w:hAnsi="Times New Roman" w:cs="Times New Roman"/>
          <w:sz w:val="24"/>
          <w:szCs w:val="24"/>
        </w:rPr>
        <w:t xml:space="preserve"> = -1.87, </w:t>
      </w:r>
      <w:r w:rsidRPr="00B07105">
        <w:rPr>
          <w:rFonts w:ascii="Times New Roman" w:hAnsi="Times New Roman" w:cs="Times New Roman"/>
          <w:i/>
          <w:iCs/>
          <w:sz w:val="24"/>
          <w:szCs w:val="24"/>
        </w:rPr>
        <w:t>p</w:t>
      </w:r>
      <w:r>
        <w:rPr>
          <w:rFonts w:ascii="Times New Roman" w:hAnsi="Times New Roman" w:cs="Times New Roman"/>
          <w:sz w:val="24"/>
          <w:szCs w:val="24"/>
        </w:rPr>
        <w:t xml:space="preserve"> = 0.06), and the interaction of VAI and year (VAI*2019: </w:t>
      </w:r>
      <w:r w:rsidRPr="00893AD2">
        <w:rPr>
          <w:rFonts w:ascii="Times New Roman" w:hAnsi="Times New Roman" w:cs="Times New Roman"/>
          <w:i/>
          <w:iCs/>
          <w:sz w:val="24"/>
          <w:szCs w:val="24"/>
        </w:rPr>
        <w:t>t</w:t>
      </w:r>
      <w:r>
        <w:rPr>
          <w:rFonts w:ascii="Times New Roman" w:hAnsi="Times New Roman" w:cs="Times New Roman"/>
          <w:sz w:val="24"/>
          <w:szCs w:val="24"/>
        </w:rPr>
        <w:t xml:space="preserve"> = 2.61, </w:t>
      </w:r>
      <w:r w:rsidRPr="00893AD2">
        <w:rPr>
          <w:rFonts w:ascii="Times New Roman" w:hAnsi="Times New Roman" w:cs="Times New Roman"/>
          <w:i/>
          <w:iCs/>
          <w:sz w:val="24"/>
          <w:szCs w:val="24"/>
        </w:rPr>
        <w:t>p</w:t>
      </w:r>
      <w:r>
        <w:rPr>
          <w:rFonts w:ascii="Times New Roman" w:hAnsi="Times New Roman" w:cs="Times New Roman"/>
          <w:sz w:val="24"/>
          <w:szCs w:val="24"/>
        </w:rPr>
        <w:t xml:space="preserve"> = 0.01; VAI*2020: </w:t>
      </w:r>
      <w:r w:rsidRPr="00893AD2">
        <w:rPr>
          <w:rFonts w:ascii="Times New Roman" w:hAnsi="Times New Roman" w:cs="Times New Roman"/>
          <w:i/>
          <w:iCs/>
          <w:sz w:val="24"/>
          <w:szCs w:val="24"/>
        </w:rPr>
        <w:t>t</w:t>
      </w:r>
      <w:r>
        <w:rPr>
          <w:rFonts w:ascii="Times New Roman" w:hAnsi="Times New Roman" w:cs="Times New Roman"/>
          <w:sz w:val="24"/>
          <w:szCs w:val="24"/>
        </w:rPr>
        <w:t xml:space="preserve"> = 1.99, </w:t>
      </w:r>
      <w:r w:rsidRPr="00893AD2">
        <w:rPr>
          <w:rFonts w:ascii="Times New Roman" w:hAnsi="Times New Roman" w:cs="Times New Roman"/>
          <w:i/>
          <w:iCs/>
          <w:sz w:val="24"/>
          <w:szCs w:val="24"/>
        </w:rPr>
        <w:t>p</w:t>
      </w:r>
      <w:r>
        <w:rPr>
          <w:rFonts w:ascii="Times New Roman" w:hAnsi="Times New Roman" w:cs="Times New Roman"/>
          <w:sz w:val="24"/>
          <w:szCs w:val="24"/>
        </w:rPr>
        <w:t xml:space="preserve"> &lt; 0.05; </w:t>
      </w:r>
      <w:proofErr w:type="spellStart"/>
      <w:r>
        <w:rPr>
          <w:rFonts w:ascii="Times New Roman" w:hAnsi="Times New Roman" w:cs="Times New Roman"/>
          <w:sz w:val="24"/>
          <w:szCs w:val="24"/>
        </w:rPr>
        <w:t>AIC</w:t>
      </w:r>
      <w:r w:rsidR="001848D6">
        <w:rPr>
          <w:rFonts w:ascii="Times New Roman" w:hAnsi="Times New Roman" w:cs="Times New Roman"/>
          <w:sz w:val="24"/>
          <w:szCs w:val="24"/>
        </w:rPr>
        <w:t>c</w:t>
      </w:r>
      <w:proofErr w:type="spellEnd"/>
      <w:r>
        <w:rPr>
          <w:rFonts w:ascii="Times New Roman" w:hAnsi="Times New Roman" w:cs="Times New Roman"/>
          <w:sz w:val="24"/>
          <w:szCs w:val="24"/>
        </w:rPr>
        <w:t xml:space="preserve"> = </w:t>
      </w:r>
      <w:r w:rsidR="006A471C">
        <w:rPr>
          <w:rFonts w:ascii="Times New Roman" w:hAnsi="Times New Roman" w:cs="Times New Roman"/>
          <w:sz w:val="24"/>
          <w:szCs w:val="24"/>
        </w:rPr>
        <w:t>-444.72</w:t>
      </w:r>
      <w:r>
        <w:rPr>
          <w:rFonts w:ascii="Times New Roman" w:hAnsi="Times New Roman" w:cs="Times New Roman"/>
          <w:sz w:val="24"/>
          <w:szCs w:val="24"/>
        </w:rPr>
        <w:t xml:space="preserve">; Fig. </w:t>
      </w:r>
      <w:r w:rsidR="00F472F2">
        <w:rPr>
          <w:rFonts w:ascii="Times New Roman" w:hAnsi="Times New Roman" w:cs="Times New Roman"/>
          <w:sz w:val="24"/>
          <w:szCs w:val="24"/>
        </w:rPr>
        <w:t>4</w:t>
      </w:r>
      <w:r>
        <w:rPr>
          <w:rFonts w:ascii="Times New Roman" w:hAnsi="Times New Roman" w:cs="Times New Roman"/>
          <w:sz w:val="24"/>
          <w:szCs w:val="24"/>
        </w:rPr>
        <w:t xml:space="preserve"> d)</w:t>
      </w:r>
      <w:r w:rsidR="0069326E">
        <w:rPr>
          <w:rFonts w:ascii="Times New Roman" w:hAnsi="Times New Roman" w:cs="Times New Roman"/>
          <w:sz w:val="24"/>
          <w:szCs w:val="24"/>
        </w:rPr>
        <w:t xml:space="preserve">, with the </w:t>
      </w:r>
      <w:r w:rsidR="0069326E">
        <w:rPr>
          <w:rFonts w:ascii="Times New Roman" w:hAnsi="Times New Roman" w:cs="Times New Roman"/>
          <w:sz w:val="24"/>
          <w:szCs w:val="24"/>
        </w:rPr>
        <w:lastRenderedPageBreak/>
        <w:t>random effect of replicate contributing only 0.43 % of the total variance</w:t>
      </w:r>
      <w:r>
        <w:rPr>
          <w:rFonts w:ascii="Times New Roman" w:hAnsi="Times New Roman" w:cs="Times New Roman"/>
          <w:sz w:val="24"/>
          <w:szCs w:val="24"/>
        </w:rPr>
        <w:t xml:space="preserve">. In contrast, we found no significant relationship between </w:t>
      </w:r>
      <w:r w:rsidR="001D7F9E">
        <w:rPr>
          <w:rFonts w:ascii="Times New Roman" w:hAnsi="Times New Roman" w:cs="Times New Roman"/>
          <w:sz w:val="24"/>
          <w:szCs w:val="24"/>
        </w:rPr>
        <w:t xml:space="preserve">VAI, year, or their interaction for LMA (Fig. </w:t>
      </w:r>
      <w:r w:rsidR="00F472F2">
        <w:rPr>
          <w:rFonts w:ascii="Times New Roman" w:hAnsi="Times New Roman" w:cs="Times New Roman"/>
          <w:sz w:val="24"/>
          <w:szCs w:val="24"/>
        </w:rPr>
        <w:t>4</w:t>
      </w:r>
      <w:r w:rsidR="001D7F9E">
        <w:rPr>
          <w:rFonts w:ascii="Times New Roman" w:hAnsi="Times New Roman" w:cs="Times New Roman"/>
          <w:sz w:val="24"/>
          <w:szCs w:val="24"/>
        </w:rPr>
        <w:t xml:space="preserve"> c).</w:t>
      </w:r>
    </w:p>
    <w:p w14:paraId="0B938903" w14:textId="749F9A5D" w:rsidR="000B1457" w:rsidRPr="007E49DE" w:rsidRDefault="00B25454" w:rsidP="00420FB9">
      <w:pPr>
        <w:spacing w:line="480" w:lineRule="auto"/>
        <w:rPr>
          <w:rFonts w:ascii="Times New Roman" w:hAnsi="Times New Roman" w:cs="Times New Roman"/>
          <w:i/>
          <w:iCs/>
          <w:sz w:val="24"/>
          <w:szCs w:val="24"/>
        </w:rPr>
      </w:pPr>
      <w:r w:rsidRPr="007E49DE">
        <w:rPr>
          <w:rFonts w:ascii="Times New Roman" w:hAnsi="Times New Roman" w:cs="Times New Roman"/>
          <w:i/>
          <w:iCs/>
          <w:sz w:val="24"/>
          <w:szCs w:val="24"/>
        </w:rPr>
        <w:t xml:space="preserve">3.4 </w:t>
      </w:r>
      <w:r w:rsidR="0093311B">
        <w:rPr>
          <w:rFonts w:ascii="Times New Roman" w:hAnsi="Times New Roman" w:cs="Times New Roman"/>
          <w:i/>
          <w:iCs/>
          <w:sz w:val="24"/>
          <w:szCs w:val="24"/>
        </w:rPr>
        <w:t>Leaf functional trait relationships with s</w:t>
      </w:r>
      <w:r w:rsidR="007E49DE" w:rsidRPr="007E49DE">
        <w:rPr>
          <w:rFonts w:ascii="Times New Roman" w:hAnsi="Times New Roman" w:cs="Times New Roman"/>
          <w:i/>
          <w:iCs/>
          <w:sz w:val="24"/>
          <w:szCs w:val="24"/>
        </w:rPr>
        <w:t>ubcanopy aboveground</w:t>
      </w:r>
      <w:r w:rsidR="0093311B">
        <w:rPr>
          <w:rFonts w:ascii="Times New Roman" w:hAnsi="Times New Roman" w:cs="Times New Roman"/>
          <w:i/>
          <w:iCs/>
          <w:sz w:val="24"/>
          <w:szCs w:val="24"/>
        </w:rPr>
        <w:t xml:space="preserve"> wood</w:t>
      </w:r>
      <w:r w:rsidR="007E49DE" w:rsidRPr="007E49DE">
        <w:rPr>
          <w:rFonts w:ascii="Times New Roman" w:hAnsi="Times New Roman" w:cs="Times New Roman"/>
          <w:i/>
          <w:iCs/>
          <w:sz w:val="24"/>
          <w:szCs w:val="24"/>
        </w:rPr>
        <w:t xml:space="preserve"> net primary production </w:t>
      </w:r>
    </w:p>
    <w:p w14:paraId="08D3556B" w14:textId="00B994F7" w:rsidR="00DA69EB" w:rsidRDefault="007E49DE" w:rsidP="00420FB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Finally, we tested </w:t>
      </w:r>
      <w:r w:rsidR="00B26667">
        <w:rPr>
          <w:rFonts w:ascii="Times New Roman" w:hAnsi="Times New Roman" w:cs="Times New Roman"/>
          <w:sz w:val="24"/>
          <w:szCs w:val="24"/>
        </w:rPr>
        <w:t>hypothesized relationships</w:t>
      </w:r>
      <w:r w:rsidR="0093311B">
        <w:rPr>
          <w:rFonts w:ascii="Times New Roman" w:hAnsi="Times New Roman" w:cs="Times New Roman"/>
          <w:sz w:val="24"/>
          <w:szCs w:val="24"/>
        </w:rPr>
        <w:t xml:space="preserve"> </w:t>
      </w:r>
      <w:r w:rsidR="00B26667">
        <w:rPr>
          <w:rFonts w:ascii="Times New Roman" w:hAnsi="Times New Roman" w:cs="Times New Roman"/>
          <w:sz w:val="24"/>
          <w:szCs w:val="24"/>
        </w:rPr>
        <w:t>between</w:t>
      </w:r>
      <w:r w:rsidR="0093311B">
        <w:rPr>
          <w:rFonts w:ascii="Times New Roman" w:hAnsi="Times New Roman" w:cs="Times New Roman"/>
          <w:sz w:val="24"/>
          <w:szCs w:val="24"/>
        </w:rPr>
        <w:t xml:space="preserve"> subcanopy </w:t>
      </w:r>
      <w:proofErr w:type="spellStart"/>
      <w:r w:rsidR="0093311B">
        <w:rPr>
          <w:rFonts w:ascii="Times New Roman" w:hAnsi="Times New Roman" w:cs="Times New Roman"/>
          <w:sz w:val="24"/>
          <w:szCs w:val="24"/>
        </w:rPr>
        <w:t>ANPP</w:t>
      </w:r>
      <w:r w:rsidR="0093311B" w:rsidRPr="00B26667">
        <w:rPr>
          <w:rFonts w:ascii="Times New Roman" w:hAnsi="Times New Roman" w:cs="Times New Roman"/>
          <w:sz w:val="24"/>
          <w:szCs w:val="24"/>
          <w:vertAlign w:val="subscript"/>
        </w:rPr>
        <w:t>w</w:t>
      </w:r>
      <w:proofErr w:type="spellEnd"/>
      <w:r w:rsidR="0093311B">
        <w:rPr>
          <w:rFonts w:ascii="Times New Roman" w:hAnsi="Times New Roman" w:cs="Times New Roman"/>
          <w:sz w:val="24"/>
          <w:szCs w:val="24"/>
        </w:rPr>
        <w:t xml:space="preserve"> </w:t>
      </w:r>
      <w:r w:rsidR="00B26667">
        <w:rPr>
          <w:rFonts w:ascii="Times New Roman" w:hAnsi="Times New Roman" w:cs="Times New Roman"/>
          <w:sz w:val="24"/>
          <w:szCs w:val="24"/>
        </w:rPr>
        <w:t>and rising disturbance severity, VAI, and subcanopy CWM leaf functional traits</w:t>
      </w:r>
      <w:r w:rsidR="00D14276">
        <w:rPr>
          <w:rFonts w:ascii="Times New Roman" w:hAnsi="Times New Roman" w:cs="Times New Roman"/>
          <w:sz w:val="24"/>
          <w:szCs w:val="24"/>
        </w:rPr>
        <w:t xml:space="preserve">. </w:t>
      </w:r>
      <w:r w:rsidR="00ED7708">
        <w:rPr>
          <w:rFonts w:ascii="Times New Roman" w:hAnsi="Times New Roman" w:cs="Times New Roman"/>
          <w:sz w:val="24"/>
          <w:szCs w:val="24"/>
        </w:rPr>
        <w:t xml:space="preserve">Subcanopy </w:t>
      </w:r>
      <w:proofErr w:type="spellStart"/>
      <w:r w:rsidR="00ED7708">
        <w:rPr>
          <w:rFonts w:ascii="Times New Roman" w:hAnsi="Times New Roman" w:cs="Times New Roman"/>
          <w:sz w:val="24"/>
          <w:szCs w:val="24"/>
        </w:rPr>
        <w:t>ANPP</w:t>
      </w:r>
      <w:r w:rsidR="00ED7708" w:rsidRPr="00ED7708">
        <w:rPr>
          <w:rFonts w:ascii="Times New Roman" w:hAnsi="Times New Roman" w:cs="Times New Roman"/>
          <w:sz w:val="24"/>
          <w:szCs w:val="24"/>
          <w:vertAlign w:val="subscript"/>
        </w:rPr>
        <w:t>w</w:t>
      </w:r>
      <w:proofErr w:type="spellEnd"/>
      <w:r w:rsidR="00ED7708">
        <w:rPr>
          <w:rFonts w:ascii="Times New Roman" w:hAnsi="Times New Roman" w:cs="Times New Roman"/>
          <w:sz w:val="24"/>
          <w:szCs w:val="24"/>
        </w:rPr>
        <w:t xml:space="preserve"> was strongly stimulated by rising disturbance severity in the </w:t>
      </w:r>
      <w:proofErr w:type="gramStart"/>
      <w:r w:rsidR="00ED7708">
        <w:rPr>
          <w:rFonts w:ascii="Times New Roman" w:hAnsi="Times New Roman" w:cs="Times New Roman"/>
          <w:sz w:val="24"/>
          <w:szCs w:val="24"/>
        </w:rPr>
        <w:t>second and third years</w:t>
      </w:r>
      <w:proofErr w:type="gramEnd"/>
      <w:r w:rsidR="00ED7708">
        <w:rPr>
          <w:rFonts w:ascii="Times New Roman" w:hAnsi="Times New Roman" w:cs="Times New Roman"/>
          <w:sz w:val="24"/>
          <w:szCs w:val="24"/>
        </w:rPr>
        <w:t xml:space="preserve"> following disturbance, with highly significant effects of year (</w:t>
      </w:r>
      <w:r w:rsidR="00ED7708" w:rsidRPr="00ED7708">
        <w:rPr>
          <w:rFonts w:ascii="Times New Roman" w:hAnsi="Times New Roman" w:cs="Times New Roman"/>
          <w:i/>
          <w:iCs/>
          <w:sz w:val="24"/>
          <w:szCs w:val="24"/>
        </w:rPr>
        <w:t>F</w:t>
      </w:r>
      <w:r w:rsidR="00ED7708">
        <w:rPr>
          <w:rFonts w:ascii="Times New Roman" w:hAnsi="Times New Roman" w:cs="Times New Roman"/>
          <w:sz w:val="24"/>
          <w:szCs w:val="24"/>
        </w:rPr>
        <w:t xml:space="preserve"> = 28.9, </w:t>
      </w:r>
      <w:r w:rsidR="00ED7708" w:rsidRPr="00ED7708">
        <w:rPr>
          <w:rFonts w:ascii="Times New Roman" w:hAnsi="Times New Roman" w:cs="Times New Roman"/>
          <w:i/>
          <w:iCs/>
          <w:sz w:val="24"/>
          <w:szCs w:val="24"/>
        </w:rPr>
        <w:t>p</w:t>
      </w:r>
      <w:r w:rsidR="00ED7708">
        <w:rPr>
          <w:rFonts w:ascii="Times New Roman" w:hAnsi="Times New Roman" w:cs="Times New Roman"/>
          <w:sz w:val="24"/>
          <w:szCs w:val="24"/>
        </w:rPr>
        <w:t xml:space="preserve"> &lt; 0.001) and disturbance by year interaction (</w:t>
      </w:r>
      <w:r w:rsidR="00ED7708" w:rsidRPr="00B47968">
        <w:rPr>
          <w:rFonts w:ascii="Times New Roman" w:hAnsi="Times New Roman" w:cs="Times New Roman"/>
          <w:i/>
          <w:iCs/>
          <w:sz w:val="24"/>
          <w:szCs w:val="24"/>
        </w:rPr>
        <w:t>F</w:t>
      </w:r>
      <w:r w:rsidR="00ED7708">
        <w:rPr>
          <w:rFonts w:ascii="Times New Roman" w:hAnsi="Times New Roman" w:cs="Times New Roman"/>
          <w:sz w:val="24"/>
          <w:szCs w:val="24"/>
        </w:rPr>
        <w:t xml:space="preserve"> = 5.81, </w:t>
      </w:r>
      <w:r w:rsidR="00ED7708" w:rsidRPr="00B47968">
        <w:rPr>
          <w:rFonts w:ascii="Times New Roman" w:hAnsi="Times New Roman" w:cs="Times New Roman"/>
          <w:i/>
          <w:iCs/>
          <w:sz w:val="24"/>
          <w:szCs w:val="24"/>
        </w:rPr>
        <w:t>p</w:t>
      </w:r>
      <w:r w:rsidR="00ED7708">
        <w:rPr>
          <w:rFonts w:ascii="Times New Roman" w:hAnsi="Times New Roman" w:cs="Times New Roman"/>
          <w:sz w:val="24"/>
          <w:szCs w:val="24"/>
        </w:rPr>
        <w:t xml:space="preserve"> &lt; 0.001, Fig. 4) in our split-split plot ANOVA model.</w:t>
      </w:r>
      <w:r w:rsidR="00B47968">
        <w:rPr>
          <w:rFonts w:ascii="Times New Roman" w:hAnsi="Times New Roman" w:cs="Times New Roman"/>
          <w:sz w:val="24"/>
          <w:szCs w:val="24"/>
        </w:rPr>
        <w:t xml:space="preserve"> However, subcanopy production was not directly related to disturbance-driven changes in canopy VAI (Table SX)</w:t>
      </w:r>
      <w:r w:rsidR="00BC579B">
        <w:rPr>
          <w:rFonts w:ascii="Times New Roman" w:hAnsi="Times New Roman" w:cs="Times New Roman"/>
          <w:sz w:val="24"/>
          <w:szCs w:val="24"/>
        </w:rPr>
        <w:t xml:space="preserve">. Moreover, </w:t>
      </w:r>
      <w:r w:rsidR="00DA69EB">
        <w:rPr>
          <w:rFonts w:ascii="Times New Roman" w:hAnsi="Times New Roman" w:cs="Times New Roman"/>
          <w:sz w:val="24"/>
          <w:szCs w:val="24"/>
        </w:rPr>
        <w:t>statistically significant loss of canopy VAI lagged</w:t>
      </w:r>
      <w:r w:rsidR="00BC579B">
        <w:rPr>
          <w:rFonts w:ascii="Times New Roman" w:hAnsi="Times New Roman" w:cs="Times New Roman"/>
          <w:sz w:val="24"/>
          <w:szCs w:val="24"/>
        </w:rPr>
        <w:t xml:space="preserve"> significant</w:t>
      </w:r>
      <w:r w:rsidR="00DA69EB">
        <w:rPr>
          <w:rFonts w:ascii="Times New Roman" w:hAnsi="Times New Roman" w:cs="Times New Roman"/>
          <w:sz w:val="24"/>
          <w:szCs w:val="24"/>
        </w:rPr>
        <w:t xml:space="preserve"> increases in subcanopy </w:t>
      </w:r>
      <w:proofErr w:type="spellStart"/>
      <w:r w:rsidR="00DA69EB">
        <w:rPr>
          <w:rFonts w:ascii="Times New Roman" w:hAnsi="Times New Roman" w:cs="Times New Roman"/>
          <w:sz w:val="24"/>
          <w:szCs w:val="24"/>
        </w:rPr>
        <w:t>ANPP</w:t>
      </w:r>
      <w:r w:rsidR="00DA69EB" w:rsidRPr="00DA69EB">
        <w:rPr>
          <w:rFonts w:ascii="Times New Roman" w:hAnsi="Times New Roman" w:cs="Times New Roman"/>
          <w:sz w:val="24"/>
          <w:szCs w:val="24"/>
          <w:vertAlign w:val="subscript"/>
        </w:rPr>
        <w:t>w</w:t>
      </w:r>
      <w:proofErr w:type="spellEnd"/>
      <w:r w:rsidR="00DA69EB">
        <w:rPr>
          <w:rFonts w:ascii="Times New Roman" w:hAnsi="Times New Roman" w:cs="Times New Roman"/>
          <w:sz w:val="24"/>
          <w:szCs w:val="24"/>
        </w:rPr>
        <w:t xml:space="preserve"> by a year, suggesting mechanisms other than canopy structural change underpinned subcanopy production stimulation.</w:t>
      </w:r>
    </w:p>
    <w:p w14:paraId="75FD365D" w14:textId="7F3EE2AA" w:rsidR="002015C8" w:rsidRDefault="003C7672" w:rsidP="00C46A8C">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order t</w:t>
      </w:r>
      <w:r w:rsidR="00B47968">
        <w:rPr>
          <w:rFonts w:ascii="Times New Roman" w:hAnsi="Times New Roman" w:cs="Times New Roman"/>
          <w:sz w:val="24"/>
          <w:szCs w:val="24"/>
        </w:rPr>
        <w:t xml:space="preserve">o assess whether </w:t>
      </w:r>
      <w:r>
        <w:rPr>
          <w:rFonts w:ascii="Times New Roman" w:hAnsi="Times New Roman" w:cs="Times New Roman"/>
          <w:sz w:val="24"/>
          <w:szCs w:val="24"/>
        </w:rPr>
        <w:t xml:space="preserve">our four </w:t>
      </w:r>
      <w:r w:rsidR="00B47968">
        <w:rPr>
          <w:rFonts w:ascii="Times New Roman" w:hAnsi="Times New Roman" w:cs="Times New Roman"/>
          <w:sz w:val="24"/>
          <w:szCs w:val="24"/>
        </w:rPr>
        <w:t xml:space="preserve">CWM leaf functional traits of interest could predict observed stimulation of subcanopy </w:t>
      </w:r>
      <w:r w:rsidR="00CF5004">
        <w:rPr>
          <w:rFonts w:ascii="Times New Roman" w:hAnsi="Times New Roman" w:cs="Times New Roman"/>
          <w:sz w:val="24"/>
          <w:szCs w:val="24"/>
        </w:rPr>
        <w:t>production</w:t>
      </w:r>
      <w:r w:rsidR="00B47968">
        <w:rPr>
          <w:rFonts w:ascii="Times New Roman" w:hAnsi="Times New Roman" w:cs="Times New Roman"/>
          <w:sz w:val="24"/>
          <w:szCs w:val="24"/>
        </w:rPr>
        <w:t xml:space="preserve">, we used a stepwise AIC </w:t>
      </w:r>
      <w:r>
        <w:rPr>
          <w:rFonts w:ascii="Times New Roman" w:hAnsi="Times New Roman" w:cs="Times New Roman"/>
          <w:sz w:val="24"/>
          <w:szCs w:val="24"/>
        </w:rPr>
        <w:t xml:space="preserve">linear regression </w:t>
      </w:r>
      <w:r w:rsidR="00B47968">
        <w:rPr>
          <w:rFonts w:ascii="Times New Roman" w:hAnsi="Times New Roman" w:cs="Times New Roman"/>
          <w:sz w:val="24"/>
          <w:szCs w:val="24"/>
        </w:rPr>
        <w:t xml:space="preserve">model selection </w:t>
      </w:r>
      <w:r>
        <w:rPr>
          <w:rFonts w:ascii="Times New Roman" w:hAnsi="Times New Roman" w:cs="Times New Roman"/>
          <w:sz w:val="24"/>
          <w:szCs w:val="24"/>
        </w:rPr>
        <w:t>proces</w:t>
      </w:r>
      <w:r w:rsidR="007B72C0">
        <w:rPr>
          <w:rFonts w:ascii="Times New Roman" w:hAnsi="Times New Roman" w:cs="Times New Roman"/>
          <w:sz w:val="24"/>
          <w:szCs w:val="24"/>
        </w:rPr>
        <w:t>s. Because of the difficulty in directly comparing AIC scores across models with and without random effects, we opted to include</w:t>
      </w:r>
      <w:r w:rsidR="00F95E4B">
        <w:rPr>
          <w:rFonts w:ascii="Times New Roman" w:hAnsi="Times New Roman" w:cs="Times New Roman"/>
          <w:sz w:val="24"/>
          <w:szCs w:val="24"/>
        </w:rPr>
        <w:t xml:space="preserve"> experimental</w:t>
      </w:r>
      <w:r w:rsidR="007B72C0">
        <w:rPr>
          <w:rFonts w:ascii="Times New Roman" w:hAnsi="Times New Roman" w:cs="Times New Roman"/>
          <w:sz w:val="24"/>
          <w:szCs w:val="24"/>
        </w:rPr>
        <w:t xml:space="preserve"> replicate as a potential fixed effect along with each of the CWM leaf functional traits in our candidate models</w:t>
      </w:r>
      <w:r w:rsidR="001559A4">
        <w:rPr>
          <w:rFonts w:ascii="Times New Roman" w:hAnsi="Times New Roman" w:cs="Times New Roman"/>
          <w:sz w:val="24"/>
          <w:szCs w:val="24"/>
        </w:rPr>
        <w:t xml:space="preserve">. Our final model retained only </w:t>
      </w:r>
      <w:proofErr w:type="spellStart"/>
      <w:r w:rsidR="006C3264">
        <w:rPr>
          <w:rFonts w:ascii="Times New Roman" w:hAnsi="Times New Roman" w:cs="Times New Roman"/>
          <w:sz w:val="24"/>
          <w:szCs w:val="24"/>
        </w:rPr>
        <w:t>reNDVI</w:t>
      </w:r>
      <w:proofErr w:type="spellEnd"/>
      <w:r w:rsidR="006C3264">
        <w:rPr>
          <w:rFonts w:ascii="Times New Roman" w:hAnsi="Times New Roman" w:cs="Times New Roman"/>
          <w:sz w:val="24"/>
          <w:szCs w:val="24"/>
        </w:rPr>
        <w:t xml:space="preserve"> and replicate (</w:t>
      </w:r>
      <w:r w:rsidR="006C3264" w:rsidRPr="00C46A8C">
        <w:rPr>
          <w:rFonts w:ascii="Times New Roman" w:hAnsi="Times New Roman" w:cs="Times New Roman"/>
          <w:i/>
          <w:iCs/>
          <w:sz w:val="24"/>
          <w:szCs w:val="24"/>
        </w:rPr>
        <w:t>p</w:t>
      </w:r>
      <w:r w:rsidR="006C3264">
        <w:rPr>
          <w:rFonts w:ascii="Times New Roman" w:hAnsi="Times New Roman" w:cs="Times New Roman"/>
          <w:sz w:val="24"/>
          <w:szCs w:val="24"/>
        </w:rPr>
        <w:t xml:space="preserve"> </w:t>
      </w:r>
      <w:r w:rsidR="00C46A8C">
        <w:rPr>
          <w:rFonts w:ascii="Times New Roman" w:hAnsi="Times New Roman" w:cs="Times New Roman"/>
          <w:sz w:val="24"/>
          <w:szCs w:val="24"/>
        </w:rPr>
        <w:t>&lt; 0.001, R</w:t>
      </w:r>
      <w:r w:rsidR="00C46A8C">
        <w:rPr>
          <w:rFonts w:ascii="Times New Roman" w:hAnsi="Times New Roman" w:cs="Times New Roman"/>
          <w:sz w:val="24"/>
          <w:szCs w:val="24"/>
          <w:vertAlign w:val="superscript"/>
        </w:rPr>
        <w:t>2</w:t>
      </w:r>
      <w:r w:rsidR="00C46A8C">
        <w:rPr>
          <w:rFonts w:ascii="Times New Roman" w:hAnsi="Times New Roman" w:cs="Times New Roman"/>
          <w:sz w:val="24"/>
          <w:szCs w:val="24"/>
          <w:vertAlign w:val="subscript"/>
        </w:rPr>
        <w:t>adj</w:t>
      </w:r>
      <w:r w:rsidR="00C46A8C">
        <w:rPr>
          <w:rFonts w:ascii="Times New Roman" w:hAnsi="Times New Roman" w:cs="Times New Roman"/>
          <w:sz w:val="24"/>
          <w:szCs w:val="24"/>
        </w:rPr>
        <w:t xml:space="preserve"> = 0.25,</w:t>
      </w:r>
      <w:r w:rsidR="006C3264">
        <w:rPr>
          <w:rFonts w:ascii="Times New Roman" w:hAnsi="Times New Roman" w:cs="Times New Roman"/>
          <w:sz w:val="24"/>
          <w:szCs w:val="24"/>
        </w:rPr>
        <w:t xml:space="preserve"> A</w:t>
      </w:r>
      <w:proofErr w:type="spellStart"/>
      <w:r w:rsidR="006C3264">
        <w:rPr>
          <w:rFonts w:ascii="Times New Roman" w:hAnsi="Times New Roman" w:cs="Times New Roman"/>
          <w:sz w:val="24"/>
          <w:szCs w:val="24"/>
        </w:rPr>
        <w:t>ICc</w:t>
      </w:r>
      <w:proofErr w:type="spellEnd"/>
      <w:r w:rsidR="006C3264">
        <w:rPr>
          <w:rFonts w:ascii="Times New Roman" w:hAnsi="Times New Roman" w:cs="Times New Roman"/>
          <w:sz w:val="24"/>
          <w:szCs w:val="24"/>
        </w:rPr>
        <w:t xml:space="preserve"> = </w:t>
      </w:r>
      <w:r w:rsidR="00C46A8C">
        <w:rPr>
          <w:rFonts w:ascii="Times New Roman" w:hAnsi="Times New Roman" w:cs="Times New Roman"/>
          <w:sz w:val="24"/>
          <w:szCs w:val="24"/>
        </w:rPr>
        <w:t>303.56</w:t>
      </w:r>
      <w:r w:rsidR="006C3264">
        <w:rPr>
          <w:rFonts w:ascii="Times New Roman" w:hAnsi="Times New Roman" w:cs="Times New Roman"/>
          <w:sz w:val="24"/>
          <w:szCs w:val="24"/>
        </w:rPr>
        <w:t xml:space="preserve">, Table SX). </w:t>
      </w:r>
    </w:p>
    <w:p w14:paraId="17FF8E3F" w14:textId="51C684B8" w:rsidR="002015C8" w:rsidRPr="002015C8" w:rsidRDefault="002015C8" w:rsidP="00420FB9">
      <w:pPr>
        <w:spacing w:line="480" w:lineRule="auto"/>
        <w:rPr>
          <w:rFonts w:ascii="Times New Roman" w:hAnsi="Times New Roman" w:cs="Times New Roman"/>
          <w:b/>
          <w:bCs/>
          <w:sz w:val="24"/>
          <w:szCs w:val="24"/>
        </w:rPr>
      </w:pPr>
      <w:r w:rsidRPr="002015C8">
        <w:rPr>
          <w:rFonts w:ascii="Times New Roman" w:hAnsi="Times New Roman" w:cs="Times New Roman"/>
          <w:b/>
          <w:bCs/>
          <w:sz w:val="24"/>
          <w:szCs w:val="24"/>
        </w:rPr>
        <w:t>4. Discussion</w:t>
      </w:r>
    </w:p>
    <w:p w14:paraId="47DE6FAB" w14:textId="39FB2316" w:rsidR="002015C8" w:rsidRDefault="00FD448B" w:rsidP="00420FB9">
      <w:pPr>
        <w:spacing w:line="480" w:lineRule="auto"/>
        <w:rPr>
          <w:rFonts w:ascii="Times New Roman" w:hAnsi="Times New Roman" w:cs="Times New Roman"/>
          <w:sz w:val="24"/>
          <w:szCs w:val="24"/>
        </w:rPr>
      </w:pPr>
      <w:r>
        <w:rPr>
          <w:rFonts w:ascii="Times New Roman" w:hAnsi="Times New Roman" w:cs="Times New Roman"/>
          <w:sz w:val="24"/>
          <w:szCs w:val="24"/>
        </w:rPr>
        <w:t>[</w:t>
      </w:r>
      <w:r w:rsidR="00C46A8C">
        <w:rPr>
          <w:rFonts w:ascii="Times New Roman" w:hAnsi="Times New Roman" w:cs="Times New Roman"/>
          <w:sz w:val="24"/>
          <w:szCs w:val="24"/>
        </w:rPr>
        <w:t>Big take-aways:</w:t>
      </w:r>
      <w:r>
        <w:rPr>
          <w:rFonts w:ascii="Times New Roman" w:hAnsi="Times New Roman" w:cs="Times New Roman"/>
          <w:sz w:val="24"/>
          <w:szCs w:val="24"/>
        </w:rPr>
        <w:t>]</w:t>
      </w:r>
      <w:r w:rsidR="00C46A8C">
        <w:rPr>
          <w:rFonts w:ascii="Times New Roman" w:hAnsi="Times New Roman" w:cs="Times New Roman"/>
          <w:sz w:val="24"/>
          <w:szCs w:val="24"/>
        </w:rPr>
        <w:t xml:space="preserve"> </w:t>
      </w:r>
      <w:r w:rsidR="002015C8">
        <w:rPr>
          <w:rFonts w:ascii="Times New Roman" w:hAnsi="Times New Roman" w:cs="Times New Roman"/>
          <w:sz w:val="24"/>
          <w:szCs w:val="24"/>
        </w:rPr>
        <w:t xml:space="preserve">We found strong evidence supporting the hypothesized decline of canopy vegetation area index (VAI) with rising disturbance severity and increasing time since </w:t>
      </w:r>
      <w:r w:rsidR="002015C8">
        <w:rPr>
          <w:rFonts w:ascii="Times New Roman" w:hAnsi="Times New Roman" w:cs="Times New Roman"/>
          <w:sz w:val="24"/>
          <w:szCs w:val="24"/>
        </w:rPr>
        <w:lastRenderedPageBreak/>
        <w:t xml:space="preserve">disturbance using our linear mixed effects model (Fig. </w:t>
      </w:r>
      <w:r w:rsidR="00C46A8C">
        <w:rPr>
          <w:rFonts w:ascii="Times New Roman" w:hAnsi="Times New Roman" w:cs="Times New Roman"/>
          <w:sz w:val="24"/>
          <w:szCs w:val="24"/>
        </w:rPr>
        <w:t>2</w:t>
      </w:r>
      <w:r w:rsidR="002015C8">
        <w:rPr>
          <w:rFonts w:ascii="Times New Roman" w:hAnsi="Times New Roman" w:cs="Times New Roman"/>
          <w:sz w:val="24"/>
          <w:szCs w:val="24"/>
        </w:rPr>
        <w:t>).</w:t>
      </w:r>
      <w:r w:rsidR="00A01540">
        <w:rPr>
          <w:rFonts w:ascii="Times New Roman" w:hAnsi="Times New Roman" w:cs="Times New Roman"/>
          <w:sz w:val="24"/>
          <w:szCs w:val="24"/>
        </w:rPr>
        <w:t xml:space="preserve"> Disturbance leads to the disintegration of a closed canopy in our forest, but this effect lags disturbance initiation by two years</w:t>
      </w:r>
      <w:r w:rsidR="00DC13D5">
        <w:rPr>
          <w:rFonts w:ascii="Times New Roman" w:hAnsi="Times New Roman" w:cs="Times New Roman"/>
          <w:sz w:val="24"/>
          <w:szCs w:val="24"/>
        </w:rPr>
        <w:t>, consistent with the time frame for stem mortality from girdling</w:t>
      </w:r>
      <w:r w:rsidR="00A01540">
        <w:rPr>
          <w:rFonts w:ascii="Times New Roman" w:hAnsi="Times New Roman" w:cs="Times New Roman"/>
          <w:sz w:val="24"/>
          <w:szCs w:val="24"/>
        </w:rPr>
        <w:t>.</w:t>
      </w:r>
    </w:p>
    <w:p w14:paraId="6AAB655F" w14:textId="3302D236" w:rsidR="00191458" w:rsidRDefault="00FD448B" w:rsidP="00E24D7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Three of four CWM leaf functional traits</w:t>
      </w:r>
      <w:r w:rsidR="00A01540">
        <w:rPr>
          <w:rFonts w:ascii="Times New Roman" w:hAnsi="Times New Roman" w:cs="Times New Roman"/>
          <w:sz w:val="24"/>
          <w:szCs w:val="24"/>
        </w:rPr>
        <w:t xml:space="preserve"> – </w:t>
      </w:r>
      <w:proofErr w:type="spellStart"/>
      <w:r w:rsidR="00A01540">
        <w:rPr>
          <w:rFonts w:ascii="Times New Roman" w:hAnsi="Times New Roman" w:cs="Times New Roman"/>
          <w:sz w:val="24"/>
          <w:szCs w:val="24"/>
        </w:rPr>
        <w:t>A</w:t>
      </w:r>
      <w:r w:rsidR="00A01540" w:rsidRPr="00DC13D5">
        <w:rPr>
          <w:rFonts w:ascii="Times New Roman" w:hAnsi="Times New Roman" w:cs="Times New Roman"/>
          <w:sz w:val="24"/>
          <w:szCs w:val="24"/>
          <w:vertAlign w:val="subscript"/>
        </w:rPr>
        <w:t>sat</w:t>
      </w:r>
      <w:proofErr w:type="spellEnd"/>
      <w:r w:rsidR="00A01540">
        <w:rPr>
          <w:rFonts w:ascii="Times New Roman" w:hAnsi="Times New Roman" w:cs="Times New Roman"/>
          <w:sz w:val="24"/>
          <w:szCs w:val="24"/>
        </w:rPr>
        <w:t xml:space="preserve">, </w:t>
      </w:r>
      <w:proofErr w:type="spellStart"/>
      <w:r w:rsidR="00A01540">
        <w:rPr>
          <w:rFonts w:ascii="Times New Roman" w:hAnsi="Times New Roman" w:cs="Times New Roman"/>
          <w:sz w:val="24"/>
          <w:szCs w:val="24"/>
        </w:rPr>
        <w:t>g</w:t>
      </w:r>
      <w:r w:rsidR="00A01540" w:rsidRPr="00DC13D5">
        <w:rPr>
          <w:rFonts w:ascii="Times New Roman" w:hAnsi="Times New Roman" w:cs="Times New Roman"/>
          <w:sz w:val="24"/>
          <w:szCs w:val="24"/>
          <w:vertAlign w:val="subscript"/>
        </w:rPr>
        <w:t>s</w:t>
      </w:r>
      <w:proofErr w:type="spellEnd"/>
      <w:r w:rsidR="00A01540">
        <w:rPr>
          <w:rFonts w:ascii="Times New Roman" w:hAnsi="Times New Roman" w:cs="Times New Roman"/>
          <w:sz w:val="24"/>
          <w:szCs w:val="24"/>
        </w:rPr>
        <w:t xml:space="preserve">, and </w:t>
      </w:r>
      <w:proofErr w:type="spellStart"/>
      <w:r w:rsidR="00A01540">
        <w:rPr>
          <w:rFonts w:ascii="Times New Roman" w:hAnsi="Times New Roman" w:cs="Times New Roman"/>
          <w:sz w:val="24"/>
          <w:szCs w:val="24"/>
        </w:rPr>
        <w:t>reNDVI</w:t>
      </w:r>
      <w:proofErr w:type="spellEnd"/>
      <w:r w:rsidR="00DC13D5">
        <w:rPr>
          <w:rFonts w:ascii="Times New Roman" w:hAnsi="Times New Roman" w:cs="Times New Roman"/>
          <w:sz w:val="24"/>
          <w:szCs w:val="24"/>
        </w:rPr>
        <w:t xml:space="preserve"> – </w:t>
      </w:r>
      <w:r w:rsidR="00A01540">
        <w:rPr>
          <w:rFonts w:ascii="Times New Roman" w:hAnsi="Times New Roman" w:cs="Times New Roman"/>
          <w:sz w:val="24"/>
          <w:szCs w:val="24"/>
        </w:rPr>
        <w:t>were found to increase with rising disturbance severity and time since disturbance</w:t>
      </w:r>
      <w:r w:rsidR="00DC13D5">
        <w:rPr>
          <w:rFonts w:ascii="Times New Roman" w:hAnsi="Times New Roman" w:cs="Times New Roman"/>
          <w:sz w:val="24"/>
          <w:szCs w:val="24"/>
        </w:rPr>
        <w:t>. Significant increases in the</w:t>
      </w:r>
      <w:r w:rsidR="00B81272">
        <w:rPr>
          <w:rFonts w:ascii="Times New Roman" w:hAnsi="Times New Roman" w:cs="Times New Roman"/>
          <w:sz w:val="24"/>
          <w:szCs w:val="24"/>
        </w:rPr>
        <w:t xml:space="preserve"> CWMs of </w:t>
      </w:r>
      <w:proofErr w:type="spellStart"/>
      <w:r w:rsidR="00B81272">
        <w:rPr>
          <w:rFonts w:ascii="Times New Roman" w:hAnsi="Times New Roman" w:cs="Times New Roman"/>
          <w:sz w:val="24"/>
          <w:szCs w:val="24"/>
        </w:rPr>
        <w:t>A</w:t>
      </w:r>
      <w:r w:rsidR="00B81272" w:rsidRPr="00B81272">
        <w:rPr>
          <w:rFonts w:ascii="Times New Roman" w:hAnsi="Times New Roman" w:cs="Times New Roman"/>
          <w:sz w:val="24"/>
          <w:szCs w:val="24"/>
          <w:vertAlign w:val="subscript"/>
        </w:rPr>
        <w:t>sat</w:t>
      </w:r>
      <w:proofErr w:type="spellEnd"/>
      <w:r w:rsidR="00B81272" w:rsidRPr="00B81272">
        <w:rPr>
          <w:rFonts w:ascii="Times New Roman" w:hAnsi="Times New Roman" w:cs="Times New Roman"/>
          <w:sz w:val="24"/>
          <w:szCs w:val="24"/>
          <w:vertAlign w:val="subscript"/>
        </w:rPr>
        <w:t xml:space="preserve"> </w:t>
      </w:r>
      <w:r w:rsidR="00B81272">
        <w:rPr>
          <w:rFonts w:ascii="Times New Roman" w:hAnsi="Times New Roman" w:cs="Times New Roman"/>
          <w:sz w:val="24"/>
          <w:szCs w:val="24"/>
        </w:rPr>
        <w:t xml:space="preserve">and </w:t>
      </w:r>
      <w:proofErr w:type="spellStart"/>
      <w:r w:rsidR="00B81272">
        <w:rPr>
          <w:rFonts w:ascii="Times New Roman" w:hAnsi="Times New Roman" w:cs="Times New Roman"/>
          <w:sz w:val="24"/>
          <w:szCs w:val="24"/>
        </w:rPr>
        <w:t>reNDVI</w:t>
      </w:r>
      <w:proofErr w:type="spellEnd"/>
      <w:r w:rsidR="00B81272">
        <w:rPr>
          <w:rFonts w:ascii="Times New Roman" w:hAnsi="Times New Roman" w:cs="Times New Roman"/>
          <w:sz w:val="24"/>
          <w:szCs w:val="24"/>
        </w:rPr>
        <w:t xml:space="preserve"> were measured prior to a substantial loss of canopy VAI, indicating that subcanopy physiological and biochemical enhancement by disturbance occurs</w:t>
      </w:r>
      <w:r w:rsidR="00191458">
        <w:rPr>
          <w:rFonts w:ascii="Times New Roman" w:hAnsi="Times New Roman" w:cs="Times New Roman"/>
          <w:sz w:val="24"/>
          <w:szCs w:val="24"/>
        </w:rPr>
        <w:t xml:space="preserve"> alongside of, yet in some cases</w:t>
      </w:r>
      <w:r w:rsidR="00B81272">
        <w:rPr>
          <w:rFonts w:ascii="Times New Roman" w:hAnsi="Times New Roman" w:cs="Times New Roman"/>
          <w:sz w:val="24"/>
          <w:szCs w:val="24"/>
        </w:rPr>
        <w:t xml:space="preserve"> faster than</w:t>
      </w:r>
      <w:r w:rsidR="00191458">
        <w:rPr>
          <w:rFonts w:ascii="Times New Roman" w:hAnsi="Times New Roman" w:cs="Times New Roman"/>
          <w:sz w:val="24"/>
          <w:szCs w:val="24"/>
        </w:rPr>
        <w:t>,</w:t>
      </w:r>
      <w:r w:rsidR="00B81272">
        <w:rPr>
          <w:rFonts w:ascii="Times New Roman" w:hAnsi="Times New Roman" w:cs="Times New Roman"/>
          <w:sz w:val="24"/>
          <w:szCs w:val="24"/>
        </w:rPr>
        <w:t xml:space="preserve"> </w:t>
      </w:r>
      <w:r w:rsidR="00191458">
        <w:rPr>
          <w:rFonts w:ascii="Times New Roman" w:hAnsi="Times New Roman" w:cs="Times New Roman"/>
          <w:sz w:val="24"/>
          <w:szCs w:val="24"/>
        </w:rPr>
        <w:t>canopy structural change.</w:t>
      </w:r>
      <w:r w:rsidR="00E24D7D">
        <w:rPr>
          <w:rFonts w:ascii="Times New Roman" w:hAnsi="Times New Roman" w:cs="Times New Roman"/>
          <w:sz w:val="24"/>
          <w:szCs w:val="24"/>
        </w:rPr>
        <w:t xml:space="preserve"> All three leaf functional traits found to respond to rising disturbance severity also significantly related to canopy VAI loss in our linear mixed effects model analysis, suggesting that changing canopy VAI does help explain subcanopy leaf functional trait shifts.</w:t>
      </w:r>
    </w:p>
    <w:p w14:paraId="0E472009" w14:textId="7E7F4D91" w:rsidR="00E24D7D" w:rsidRDefault="00D02C52" w:rsidP="00E24D7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Though disturbance was found to influence both canopy VAI and subcanopy </w:t>
      </w:r>
      <w:proofErr w:type="spellStart"/>
      <w:r>
        <w:rPr>
          <w:rFonts w:ascii="Times New Roman" w:hAnsi="Times New Roman" w:cs="Times New Roman"/>
          <w:sz w:val="24"/>
          <w:szCs w:val="24"/>
        </w:rPr>
        <w:t>ANPP</w:t>
      </w:r>
      <w:r w:rsidRPr="00D02C52">
        <w:rPr>
          <w:rFonts w:ascii="Times New Roman" w:hAnsi="Times New Roman" w:cs="Times New Roman"/>
          <w:sz w:val="24"/>
          <w:szCs w:val="24"/>
          <w:vertAlign w:val="subscript"/>
        </w:rPr>
        <w:t>w</w:t>
      </w:r>
      <w:proofErr w:type="spellEnd"/>
      <w:r>
        <w:rPr>
          <w:rFonts w:ascii="Times New Roman" w:hAnsi="Times New Roman" w:cs="Times New Roman"/>
          <w:sz w:val="24"/>
          <w:szCs w:val="24"/>
        </w:rPr>
        <w:t xml:space="preserve">, VAI was not, in turn, found to relate to subcanopy </w:t>
      </w:r>
      <w:proofErr w:type="spellStart"/>
      <w:r>
        <w:rPr>
          <w:rFonts w:ascii="Times New Roman" w:hAnsi="Times New Roman" w:cs="Times New Roman"/>
          <w:sz w:val="24"/>
          <w:szCs w:val="24"/>
        </w:rPr>
        <w:t>ANPP</w:t>
      </w:r>
      <w:r w:rsidRPr="00D02C52">
        <w:rPr>
          <w:rFonts w:ascii="Times New Roman" w:hAnsi="Times New Roman" w:cs="Times New Roman"/>
          <w:sz w:val="24"/>
          <w:szCs w:val="24"/>
          <w:vertAlign w:val="subscript"/>
        </w:rPr>
        <w:t>w</w:t>
      </w:r>
      <w:proofErr w:type="spellEnd"/>
      <w:r>
        <w:rPr>
          <w:rFonts w:ascii="Times New Roman" w:hAnsi="Times New Roman" w:cs="Times New Roman"/>
          <w:sz w:val="24"/>
          <w:szCs w:val="24"/>
        </w:rPr>
        <w:t xml:space="preserve">. These results suggest that rapid, sustained subcanopy </w:t>
      </w:r>
      <w:proofErr w:type="spellStart"/>
      <w:r>
        <w:rPr>
          <w:rFonts w:ascii="Times New Roman" w:hAnsi="Times New Roman" w:cs="Times New Roman"/>
          <w:sz w:val="24"/>
          <w:szCs w:val="24"/>
        </w:rPr>
        <w:t>ANPP</w:t>
      </w:r>
      <w:r w:rsidRPr="00D02C52">
        <w:rPr>
          <w:rFonts w:ascii="Times New Roman" w:hAnsi="Times New Roman" w:cs="Times New Roman"/>
          <w:sz w:val="24"/>
          <w:szCs w:val="24"/>
          <w:vertAlign w:val="subscript"/>
        </w:rPr>
        <w:t>w</w:t>
      </w:r>
      <w:proofErr w:type="spellEnd"/>
      <w:r>
        <w:rPr>
          <w:rFonts w:ascii="Times New Roman" w:hAnsi="Times New Roman" w:cs="Times New Roman"/>
          <w:sz w:val="24"/>
          <w:szCs w:val="24"/>
        </w:rPr>
        <w:t xml:space="preserve"> stimulation following disturbance is likely to be better explained by mechanisms within the subcanopy itself, rather than temporally lagged changes in canopy structure. Leaf functional traits are </w:t>
      </w:r>
      <w:r w:rsidR="005425C6">
        <w:rPr>
          <w:rFonts w:ascii="Times New Roman" w:hAnsi="Times New Roman" w:cs="Times New Roman"/>
          <w:sz w:val="24"/>
          <w:szCs w:val="24"/>
        </w:rPr>
        <w:t>useful</w:t>
      </w:r>
      <w:r>
        <w:rPr>
          <w:rFonts w:ascii="Times New Roman" w:hAnsi="Times New Roman" w:cs="Times New Roman"/>
          <w:sz w:val="24"/>
          <w:szCs w:val="24"/>
        </w:rPr>
        <w:t xml:space="preserve"> integrator variables of plant response to environmental change</w:t>
      </w:r>
      <w:r w:rsidR="005425C6">
        <w:rPr>
          <w:rFonts w:ascii="Times New Roman" w:hAnsi="Times New Roman" w:cs="Times New Roman"/>
          <w:sz w:val="24"/>
          <w:szCs w:val="24"/>
        </w:rPr>
        <w:t xml:space="preserve">, and thus are important potential mechanistic linkages to study. Here, we found that the single best predictor of subcanopy net primary production following disturbance was </w:t>
      </w:r>
      <w:proofErr w:type="spellStart"/>
      <w:r w:rsidR="005425C6">
        <w:rPr>
          <w:rFonts w:ascii="Times New Roman" w:hAnsi="Times New Roman" w:cs="Times New Roman"/>
          <w:sz w:val="24"/>
          <w:szCs w:val="24"/>
        </w:rPr>
        <w:t>reNDVI</w:t>
      </w:r>
      <w:r w:rsidR="005425C6" w:rsidRPr="005425C6">
        <w:rPr>
          <w:rFonts w:ascii="Times New Roman" w:hAnsi="Times New Roman" w:cs="Times New Roman"/>
          <w:sz w:val="24"/>
          <w:szCs w:val="24"/>
          <w:vertAlign w:val="subscript"/>
        </w:rPr>
        <w:t>leaf</w:t>
      </w:r>
      <w:proofErr w:type="spellEnd"/>
      <w:r w:rsidR="005425C6">
        <w:rPr>
          <w:rFonts w:ascii="Times New Roman" w:hAnsi="Times New Roman" w:cs="Times New Roman"/>
          <w:sz w:val="24"/>
          <w:szCs w:val="24"/>
        </w:rPr>
        <w:t xml:space="preserve">, a reflectance index strongly tied to leaf chlorophyll content (REF). We found strong evidence that </w:t>
      </w:r>
      <w:proofErr w:type="spellStart"/>
      <w:r w:rsidR="005425C6">
        <w:rPr>
          <w:rFonts w:ascii="Times New Roman" w:hAnsi="Times New Roman" w:cs="Times New Roman"/>
          <w:sz w:val="24"/>
          <w:szCs w:val="24"/>
        </w:rPr>
        <w:t>reNDVI</w:t>
      </w:r>
      <w:proofErr w:type="spellEnd"/>
      <w:r w:rsidR="005425C6">
        <w:rPr>
          <w:rFonts w:ascii="Times New Roman" w:hAnsi="Times New Roman" w:cs="Times New Roman"/>
          <w:sz w:val="24"/>
          <w:szCs w:val="24"/>
        </w:rPr>
        <w:t xml:space="preserve"> increased rapidly and substantially following disturbance, and may be considered a proxy variable for rapid </w:t>
      </w:r>
      <w:proofErr w:type="spellStart"/>
      <w:r w:rsidR="005425C6">
        <w:rPr>
          <w:rFonts w:ascii="Times New Roman" w:hAnsi="Times New Roman" w:cs="Times New Roman"/>
          <w:sz w:val="24"/>
          <w:szCs w:val="24"/>
        </w:rPr>
        <w:t>retranslocation</w:t>
      </w:r>
      <w:proofErr w:type="spellEnd"/>
      <w:r w:rsidR="005425C6">
        <w:rPr>
          <w:rFonts w:ascii="Times New Roman" w:hAnsi="Times New Roman" w:cs="Times New Roman"/>
          <w:sz w:val="24"/>
          <w:szCs w:val="24"/>
        </w:rPr>
        <w:t xml:space="preserve"> of N within the disturbed forest understory (REF).</w:t>
      </w:r>
    </w:p>
    <w:p w14:paraId="52E6E0C3" w14:textId="3EF29A41" w:rsidR="00191458" w:rsidRDefault="00191458" w:rsidP="00420FB9">
      <w:pPr>
        <w:spacing w:line="480" w:lineRule="auto"/>
        <w:rPr>
          <w:rFonts w:ascii="Times New Roman" w:hAnsi="Times New Roman" w:cs="Times New Roman"/>
          <w:sz w:val="24"/>
          <w:szCs w:val="24"/>
        </w:rPr>
      </w:pPr>
      <w:r>
        <w:rPr>
          <w:rFonts w:ascii="Times New Roman" w:hAnsi="Times New Roman" w:cs="Times New Roman"/>
          <w:sz w:val="24"/>
          <w:szCs w:val="24"/>
        </w:rPr>
        <w:tab/>
      </w:r>
    </w:p>
    <w:p w14:paraId="4401E318" w14:textId="722A7A7D" w:rsidR="0042121F" w:rsidRDefault="0042121F" w:rsidP="00420FB9">
      <w:pPr>
        <w:spacing w:line="480" w:lineRule="auto"/>
        <w:rPr>
          <w:rFonts w:ascii="Times New Roman" w:hAnsi="Times New Roman" w:cs="Times New Roman"/>
          <w:sz w:val="24"/>
          <w:szCs w:val="24"/>
        </w:rPr>
      </w:pPr>
    </w:p>
    <w:p w14:paraId="26003FC2" w14:textId="50002BC2" w:rsidR="00A3263F" w:rsidRDefault="000272EC" w:rsidP="00420FB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Spectral vegetation indices such as NDVI have been found to be useful predictors of disturbance transitions</w:t>
      </w:r>
      <w:r w:rsidR="00867427">
        <w:rPr>
          <w:rFonts w:ascii="Times New Roman" w:hAnsi="Times New Roman" w:cs="Times New Roman"/>
          <w:sz w:val="24"/>
          <w:szCs w:val="24"/>
        </w:rPr>
        <w:t xml:space="preserve"> in forests</w:t>
      </w:r>
      <w:r>
        <w:rPr>
          <w:rFonts w:ascii="Times New Roman" w:hAnsi="Times New Roman" w:cs="Times New Roman"/>
          <w:sz w:val="24"/>
          <w:szCs w:val="24"/>
        </w:rPr>
        <w:t xml:space="preserve"> including tree species decline (</w:t>
      </w:r>
      <w:proofErr w:type="spellStart"/>
      <w:r>
        <w:rPr>
          <w:rFonts w:ascii="Times New Roman" w:hAnsi="Times New Roman" w:cs="Times New Roman"/>
          <w:sz w:val="24"/>
          <w:szCs w:val="24"/>
        </w:rPr>
        <w:t>Khodaee</w:t>
      </w:r>
      <w:proofErr w:type="spellEnd"/>
      <w:r>
        <w:rPr>
          <w:rFonts w:ascii="Times New Roman" w:hAnsi="Times New Roman" w:cs="Times New Roman"/>
          <w:sz w:val="24"/>
          <w:szCs w:val="24"/>
        </w:rPr>
        <w:t xml:space="preserve"> et al 2021)</w:t>
      </w:r>
      <w:r w:rsidR="00867427">
        <w:rPr>
          <w:rFonts w:ascii="Times New Roman" w:hAnsi="Times New Roman" w:cs="Times New Roman"/>
          <w:sz w:val="24"/>
          <w:szCs w:val="24"/>
        </w:rPr>
        <w:t xml:space="preserve">. To date, they have largely been employed for canopy </w:t>
      </w:r>
      <w:r w:rsidR="00DC0714">
        <w:rPr>
          <w:rFonts w:ascii="Times New Roman" w:hAnsi="Times New Roman" w:cs="Times New Roman"/>
          <w:sz w:val="24"/>
          <w:szCs w:val="24"/>
        </w:rPr>
        <w:t xml:space="preserve">process </w:t>
      </w:r>
      <w:r w:rsidR="00867427">
        <w:rPr>
          <w:rFonts w:ascii="Times New Roman" w:hAnsi="Times New Roman" w:cs="Times New Roman"/>
          <w:sz w:val="24"/>
          <w:szCs w:val="24"/>
        </w:rPr>
        <w:t>monitoring</w:t>
      </w:r>
      <w:r w:rsidR="00DC0714">
        <w:rPr>
          <w:rFonts w:ascii="Times New Roman" w:hAnsi="Times New Roman" w:cs="Times New Roman"/>
          <w:sz w:val="24"/>
          <w:szCs w:val="24"/>
        </w:rPr>
        <w:t xml:space="preserve">, including phenological </w:t>
      </w:r>
      <w:proofErr w:type="gramStart"/>
      <w:r w:rsidR="00DC0714">
        <w:rPr>
          <w:rFonts w:ascii="Times New Roman" w:hAnsi="Times New Roman" w:cs="Times New Roman"/>
          <w:sz w:val="24"/>
          <w:szCs w:val="24"/>
        </w:rPr>
        <w:t xml:space="preserve">status, </w:t>
      </w:r>
      <w:r w:rsidR="00867427">
        <w:rPr>
          <w:rFonts w:ascii="Times New Roman" w:hAnsi="Times New Roman" w:cs="Times New Roman"/>
          <w:sz w:val="24"/>
          <w:szCs w:val="24"/>
        </w:rPr>
        <w:t xml:space="preserve"> (</w:t>
      </w:r>
      <w:proofErr w:type="spellStart"/>
      <w:proofErr w:type="gramEnd"/>
      <w:r w:rsidR="00867427">
        <w:rPr>
          <w:rFonts w:ascii="Times New Roman" w:hAnsi="Times New Roman" w:cs="Times New Roman"/>
          <w:sz w:val="24"/>
          <w:szCs w:val="24"/>
        </w:rPr>
        <w:t>Huete</w:t>
      </w:r>
      <w:proofErr w:type="spellEnd"/>
      <w:r w:rsidR="00867427">
        <w:rPr>
          <w:rFonts w:ascii="Times New Roman" w:hAnsi="Times New Roman" w:cs="Times New Roman"/>
          <w:sz w:val="24"/>
          <w:szCs w:val="24"/>
        </w:rPr>
        <w:t xml:space="preserve"> 2012)</w:t>
      </w:r>
    </w:p>
    <w:p w14:paraId="1F40DBFE" w14:textId="0FE0DF4A" w:rsidR="00346B57" w:rsidRDefault="00346B57">
      <w:pPr>
        <w:rPr>
          <w:rFonts w:ascii="Times New Roman" w:hAnsi="Times New Roman" w:cs="Times New Roman"/>
          <w:sz w:val="24"/>
          <w:szCs w:val="24"/>
        </w:rPr>
      </w:pPr>
      <w:r>
        <w:rPr>
          <w:rFonts w:ascii="Times New Roman" w:hAnsi="Times New Roman" w:cs="Times New Roman"/>
          <w:sz w:val="24"/>
          <w:szCs w:val="24"/>
        </w:rPr>
        <w:br w:type="page"/>
      </w:r>
    </w:p>
    <w:p w14:paraId="2CAEEF5D" w14:textId="0946C8FD" w:rsidR="002555F6" w:rsidRDefault="00346B57" w:rsidP="00420FB9">
      <w:pPr>
        <w:spacing w:line="480" w:lineRule="auto"/>
        <w:rPr>
          <w:rFonts w:ascii="Times New Roman" w:hAnsi="Times New Roman" w:cs="Times New Roman"/>
          <w:b/>
          <w:bCs/>
          <w:sz w:val="24"/>
          <w:szCs w:val="24"/>
        </w:rPr>
      </w:pPr>
      <w:r w:rsidRPr="00346B57">
        <w:rPr>
          <w:rFonts w:ascii="Times New Roman" w:hAnsi="Times New Roman" w:cs="Times New Roman"/>
          <w:b/>
          <w:bCs/>
          <w:sz w:val="24"/>
          <w:szCs w:val="24"/>
        </w:rPr>
        <w:lastRenderedPageBreak/>
        <w:t>Figures and Tables:</w:t>
      </w:r>
    </w:p>
    <w:p w14:paraId="6B6D1B9D" w14:textId="1D58C4A6" w:rsidR="002555F6" w:rsidRDefault="002555F6" w:rsidP="00420FB9">
      <w:pPr>
        <w:spacing w:line="480" w:lineRule="auto"/>
        <w:rPr>
          <w:rFonts w:ascii="Times New Roman" w:hAnsi="Times New Roman" w:cs="Times New Roman"/>
          <w:b/>
          <w:bCs/>
          <w:sz w:val="24"/>
          <w:szCs w:val="24"/>
        </w:rPr>
      </w:pPr>
      <w:r>
        <w:rPr>
          <w:noProof/>
        </w:rPr>
        <w:drawing>
          <wp:inline distT="114300" distB="114300" distL="114300" distR="114300" wp14:anchorId="2BA423DC" wp14:editId="2F8B54AC">
            <wp:extent cx="4515653" cy="5009130"/>
            <wp:effectExtent l="0" t="0" r="0" b="1270"/>
            <wp:docPr id="4" name="image3.jpg"/>
            <wp:cNvGraphicFramePr/>
            <a:graphic xmlns:a="http://schemas.openxmlformats.org/drawingml/2006/main">
              <a:graphicData uri="http://schemas.openxmlformats.org/drawingml/2006/picture">
                <pic:pic xmlns:pic="http://schemas.openxmlformats.org/drawingml/2006/picture">
                  <pic:nvPicPr>
                    <pic:cNvPr id="4" name="image3.jpg"/>
                    <pic:cNvPicPr preferRelativeResize="0"/>
                  </pic:nvPicPr>
                  <pic:blipFill>
                    <a:blip r:embed="rId5">
                      <a:extLst>
                        <a:ext uri="{28A0092B-C50C-407E-A947-70E740481C1C}">
                          <a14:useLocalDpi xmlns:a14="http://schemas.microsoft.com/office/drawing/2010/main" val="0"/>
                        </a:ext>
                      </a:extLst>
                    </a:blip>
                    <a:stretch>
                      <a:fillRect/>
                    </a:stretch>
                  </pic:blipFill>
                  <pic:spPr>
                    <a:xfrm>
                      <a:off x="0" y="0"/>
                      <a:ext cx="4515653" cy="5009130"/>
                    </a:xfrm>
                    <a:prstGeom prst="rect">
                      <a:avLst/>
                    </a:prstGeom>
                    <a:ln/>
                  </pic:spPr>
                </pic:pic>
              </a:graphicData>
            </a:graphic>
          </wp:inline>
        </w:drawing>
      </w:r>
    </w:p>
    <w:p w14:paraId="717CD471" w14:textId="2579632C" w:rsidR="002555F6" w:rsidRPr="00DD6A76" w:rsidRDefault="002555F6" w:rsidP="00420FB9">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Figure 1. </w:t>
      </w:r>
      <w:proofErr w:type="spellStart"/>
      <w:r w:rsidR="00DD6A76">
        <w:rPr>
          <w:rFonts w:ascii="Times New Roman" w:hAnsi="Times New Roman" w:cs="Times New Roman"/>
          <w:sz w:val="24"/>
          <w:szCs w:val="24"/>
        </w:rPr>
        <w:t>FoRTE</w:t>
      </w:r>
      <w:proofErr w:type="spellEnd"/>
      <w:r w:rsidR="00DD6A76">
        <w:rPr>
          <w:rFonts w:ascii="Times New Roman" w:hAnsi="Times New Roman" w:cs="Times New Roman"/>
          <w:sz w:val="24"/>
          <w:szCs w:val="24"/>
        </w:rPr>
        <w:t xml:space="preserve"> site map including experimental replicate locations (A) and sampling design (B). Four replicates each containing four plots with designated whole-plot gross defoliation levels (0, 45, 65, or 85 % disturbance severity) are </w:t>
      </w:r>
      <w:r w:rsidR="00B24EFC">
        <w:rPr>
          <w:rFonts w:ascii="Times New Roman" w:hAnsi="Times New Roman" w:cs="Times New Roman"/>
          <w:sz w:val="24"/>
          <w:szCs w:val="24"/>
        </w:rPr>
        <w:t>distributed</w:t>
      </w:r>
      <w:r w:rsidR="00DD6A76">
        <w:rPr>
          <w:rFonts w:ascii="Times New Roman" w:hAnsi="Times New Roman" w:cs="Times New Roman"/>
          <w:sz w:val="24"/>
          <w:szCs w:val="24"/>
        </w:rPr>
        <w:t xml:space="preserve"> across four distinct landscape ecosystem types</w:t>
      </w:r>
      <w:r w:rsidR="00B24EFC">
        <w:rPr>
          <w:rFonts w:ascii="Times New Roman" w:hAnsi="Times New Roman" w:cs="Times New Roman"/>
          <w:sz w:val="24"/>
          <w:szCs w:val="24"/>
        </w:rPr>
        <w:t xml:space="preserve"> at UMBS</w:t>
      </w:r>
      <w:r w:rsidR="00DD6A76">
        <w:rPr>
          <w:rFonts w:ascii="Times New Roman" w:hAnsi="Times New Roman" w:cs="Times New Roman"/>
          <w:sz w:val="24"/>
          <w:szCs w:val="24"/>
        </w:rPr>
        <w:t xml:space="preserve"> according to a local classification system (map colors in panel A). Each plot </w:t>
      </w:r>
      <w:r w:rsidR="00B24EFC">
        <w:rPr>
          <w:rFonts w:ascii="Times New Roman" w:hAnsi="Times New Roman" w:cs="Times New Roman"/>
          <w:sz w:val="24"/>
          <w:szCs w:val="24"/>
        </w:rPr>
        <w:t>was</w:t>
      </w:r>
      <w:r w:rsidR="007D0E18">
        <w:rPr>
          <w:rFonts w:ascii="Times New Roman" w:hAnsi="Times New Roman" w:cs="Times New Roman"/>
          <w:sz w:val="24"/>
          <w:szCs w:val="24"/>
        </w:rPr>
        <w:t xml:space="preserve"> halved to generate two subplots, each of which was </w:t>
      </w:r>
      <w:r w:rsidR="00B24EFC">
        <w:rPr>
          <w:rFonts w:ascii="Times New Roman" w:hAnsi="Times New Roman" w:cs="Times New Roman"/>
          <w:sz w:val="24"/>
          <w:szCs w:val="24"/>
        </w:rPr>
        <w:t xml:space="preserve">issued a restrictively randomized assignment of “top-down” or “bottom-up” </w:t>
      </w:r>
      <w:r w:rsidR="007D0E18">
        <w:rPr>
          <w:rFonts w:ascii="Times New Roman" w:hAnsi="Times New Roman" w:cs="Times New Roman"/>
          <w:sz w:val="24"/>
          <w:szCs w:val="24"/>
        </w:rPr>
        <w:t xml:space="preserve">treatment type </w:t>
      </w:r>
      <w:r w:rsidR="00B24EFC">
        <w:rPr>
          <w:rFonts w:ascii="Times New Roman" w:hAnsi="Times New Roman" w:cs="Times New Roman"/>
          <w:sz w:val="24"/>
          <w:szCs w:val="24"/>
        </w:rPr>
        <w:t>(panel B</w:t>
      </w:r>
      <w:r w:rsidR="007D0E18">
        <w:rPr>
          <w:rFonts w:ascii="Times New Roman" w:hAnsi="Times New Roman" w:cs="Times New Roman"/>
          <w:sz w:val="24"/>
          <w:szCs w:val="24"/>
        </w:rPr>
        <w:t>). All measurements of interest were located within the experimental unit of subplots.</w:t>
      </w:r>
    </w:p>
    <w:p w14:paraId="65358C74" w14:textId="34833627" w:rsidR="00346B57" w:rsidRDefault="00346B57" w:rsidP="00420FB9">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6DBE005" wp14:editId="3CE3A65A">
            <wp:extent cx="5943600" cy="4087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87495"/>
                    </a:xfrm>
                    <a:prstGeom prst="rect">
                      <a:avLst/>
                    </a:prstGeom>
                    <a:noFill/>
                  </pic:spPr>
                </pic:pic>
              </a:graphicData>
            </a:graphic>
          </wp:inline>
        </w:drawing>
      </w:r>
    </w:p>
    <w:p w14:paraId="5AC43CBC" w14:textId="64934FF4" w:rsidR="00346B57" w:rsidRDefault="00346B57" w:rsidP="00346B57">
      <w:pPr>
        <w:spacing w:line="480" w:lineRule="auto"/>
        <w:rPr>
          <w:rFonts w:ascii="Times New Roman" w:hAnsi="Times New Roman" w:cs="Times New Roman"/>
          <w:sz w:val="24"/>
          <w:szCs w:val="24"/>
        </w:rPr>
      </w:pPr>
      <w:r w:rsidRPr="00906CEF">
        <w:rPr>
          <w:rFonts w:ascii="Times New Roman" w:hAnsi="Times New Roman" w:cs="Times New Roman"/>
          <w:b/>
          <w:bCs/>
          <w:sz w:val="24"/>
          <w:szCs w:val="24"/>
        </w:rPr>
        <w:t xml:space="preserve">Figure </w:t>
      </w:r>
      <w:r w:rsidR="00FB081B">
        <w:rPr>
          <w:rFonts w:ascii="Times New Roman" w:hAnsi="Times New Roman" w:cs="Times New Roman"/>
          <w:b/>
          <w:bCs/>
          <w:sz w:val="24"/>
          <w:szCs w:val="24"/>
        </w:rPr>
        <w:t>2</w:t>
      </w:r>
      <w:r w:rsidRPr="00906CEF">
        <w:rPr>
          <w:rFonts w:ascii="Times New Roman" w:hAnsi="Times New Roman" w:cs="Times New Roman"/>
          <w:b/>
          <w:bCs/>
          <w:sz w:val="24"/>
          <w:szCs w:val="24"/>
        </w:rPr>
        <w:t>.</w:t>
      </w:r>
      <w:r>
        <w:rPr>
          <w:rFonts w:ascii="Times New Roman" w:hAnsi="Times New Roman" w:cs="Times New Roman"/>
          <w:sz w:val="24"/>
          <w:szCs w:val="24"/>
        </w:rPr>
        <w:t xml:space="preserve"> Subplot mean canopy vegetative area index (VAI, unitless) across experimental disturbance severities and years. 2018 was the year prior to disturbance, while 2021 was the third year following disturbance initiation. In 2021, two disturbance severities (65 %, *</w:t>
      </w:r>
      <w:r w:rsidRPr="00A3263F">
        <w:rPr>
          <w:rFonts w:ascii="Times New Roman" w:hAnsi="Times New Roman" w:cs="Times New Roman"/>
          <w:i/>
          <w:iCs/>
          <w:sz w:val="24"/>
          <w:szCs w:val="24"/>
        </w:rPr>
        <w:t>p</w:t>
      </w:r>
      <w:r>
        <w:rPr>
          <w:rFonts w:ascii="Times New Roman" w:hAnsi="Times New Roman" w:cs="Times New Roman"/>
          <w:sz w:val="24"/>
          <w:szCs w:val="24"/>
        </w:rPr>
        <w:t xml:space="preserve"> &lt; 0.05 and 85 %, **</w:t>
      </w:r>
      <w:r w:rsidRPr="00A3263F">
        <w:rPr>
          <w:rFonts w:ascii="Times New Roman" w:hAnsi="Times New Roman" w:cs="Times New Roman"/>
          <w:i/>
          <w:iCs/>
          <w:sz w:val="24"/>
          <w:szCs w:val="24"/>
        </w:rPr>
        <w:t>p</w:t>
      </w:r>
      <w:r>
        <w:rPr>
          <w:rFonts w:ascii="Times New Roman" w:hAnsi="Times New Roman" w:cs="Times New Roman"/>
          <w:sz w:val="24"/>
          <w:szCs w:val="24"/>
        </w:rPr>
        <w:t xml:space="preserve"> &lt; 0.01) had significantly different mean VAI from the control subplots in a linear mixed effects model. All statistical parameters are included in Table SX.</w:t>
      </w:r>
    </w:p>
    <w:p w14:paraId="28C1400D" w14:textId="48238D1D" w:rsidR="00346B57" w:rsidRDefault="00346B57" w:rsidP="00420FB9">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1593255" wp14:editId="05ECE55D">
            <wp:extent cx="3593183" cy="76390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3593183" cy="7639051"/>
                    </a:xfrm>
                    <a:prstGeom prst="rect">
                      <a:avLst/>
                    </a:prstGeom>
                  </pic:spPr>
                </pic:pic>
              </a:graphicData>
            </a:graphic>
          </wp:inline>
        </w:drawing>
      </w:r>
    </w:p>
    <w:p w14:paraId="30AC0B56" w14:textId="41356F81" w:rsidR="00346B57" w:rsidRDefault="00346B57" w:rsidP="00346B57">
      <w:pPr>
        <w:spacing w:line="480" w:lineRule="auto"/>
        <w:rPr>
          <w:rFonts w:ascii="Times New Roman" w:hAnsi="Times New Roman" w:cs="Times New Roman"/>
          <w:sz w:val="24"/>
          <w:szCs w:val="24"/>
        </w:rPr>
      </w:pPr>
      <w:r w:rsidRPr="00AB5D3E">
        <w:rPr>
          <w:rFonts w:ascii="Times New Roman" w:hAnsi="Times New Roman" w:cs="Times New Roman"/>
          <w:b/>
          <w:bCs/>
          <w:sz w:val="24"/>
          <w:szCs w:val="24"/>
        </w:rPr>
        <w:lastRenderedPageBreak/>
        <w:t xml:space="preserve">Figure </w:t>
      </w:r>
      <w:r w:rsidR="00E76505">
        <w:rPr>
          <w:rFonts w:ascii="Times New Roman" w:hAnsi="Times New Roman" w:cs="Times New Roman"/>
          <w:b/>
          <w:bCs/>
          <w:sz w:val="24"/>
          <w:szCs w:val="24"/>
        </w:rPr>
        <w:t>3</w:t>
      </w:r>
      <w:r w:rsidRPr="00AB5D3E">
        <w:rPr>
          <w:rFonts w:ascii="Times New Roman" w:hAnsi="Times New Roman" w:cs="Times New Roman"/>
          <w:b/>
          <w:bCs/>
          <w:sz w:val="24"/>
          <w:szCs w:val="24"/>
        </w:rPr>
        <w:t>.</w:t>
      </w:r>
      <w:r>
        <w:rPr>
          <w:rFonts w:ascii="Times New Roman" w:hAnsi="Times New Roman" w:cs="Times New Roman"/>
          <w:sz w:val="24"/>
          <w:szCs w:val="24"/>
        </w:rPr>
        <w:t xml:space="preserve"> Boxplots illustrating the distribution of subplot CWM values of subcanopy leaf physiological (</w:t>
      </w:r>
      <w:proofErr w:type="spellStart"/>
      <w:r>
        <w:rPr>
          <w:rFonts w:ascii="Times New Roman" w:hAnsi="Times New Roman" w:cs="Times New Roman"/>
          <w:sz w:val="24"/>
          <w:szCs w:val="24"/>
        </w:rPr>
        <w:t>A</w:t>
      </w:r>
      <w:r w:rsidRPr="00D35869">
        <w:rPr>
          <w:rFonts w:ascii="Times New Roman" w:hAnsi="Times New Roman" w:cs="Times New Roman"/>
          <w:sz w:val="24"/>
          <w:szCs w:val="24"/>
          <w:vertAlign w:val="subscript"/>
        </w:rPr>
        <w:t>sat</w:t>
      </w:r>
      <w:proofErr w:type="spellEnd"/>
      <w:r>
        <w:rPr>
          <w:rFonts w:ascii="Times New Roman" w:hAnsi="Times New Roman" w:cs="Times New Roman"/>
          <w:sz w:val="24"/>
          <w:szCs w:val="24"/>
        </w:rPr>
        <w:t xml:space="preserve">, </w:t>
      </w:r>
      <w:r w:rsidRPr="00AB5D3E">
        <w:rPr>
          <w:rFonts w:ascii="Times New Roman" w:hAnsi="Times New Roman" w:cs="Times New Roman"/>
          <w:sz w:val="24"/>
          <w:szCs w:val="24"/>
        </w:rPr>
        <w:t>a</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g</w:t>
      </w:r>
      <w:r w:rsidRPr="00D35869">
        <w:rPr>
          <w:rFonts w:ascii="Times New Roman" w:hAnsi="Times New Roman" w:cs="Times New Roman"/>
          <w:sz w:val="24"/>
          <w:szCs w:val="24"/>
          <w:vertAlign w:val="subscript"/>
        </w:rPr>
        <w:t>s</w:t>
      </w:r>
      <w:proofErr w:type="spellEnd"/>
      <w:r>
        <w:rPr>
          <w:rFonts w:ascii="Times New Roman" w:hAnsi="Times New Roman" w:cs="Times New Roman"/>
          <w:sz w:val="24"/>
          <w:szCs w:val="24"/>
        </w:rPr>
        <w:t>, b), morphological (LMA, c) and optical (</w:t>
      </w:r>
      <w:proofErr w:type="spellStart"/>
      <w:r>
        <w:rPr>
          <w:rFonts w:ascii="Times New Roman" w:hAnsi="Times New Roman" w:cs="Times New Roman"/>
          <w:sz w:val="24"/>
          <w:szCs w:val="24"/>
        </w:rPr>
        <w:t>reNDVI</w:t>
      </w:r>
      <w:proofErr w:type="spellEnd"/>
      <w:r>
        <w:rPr>
          <w:rFonts w:ascii="Times New Roman" w:hAnsi="Times New Roman" w:cs="Times New Roman"/>
          <w:sz w:val="24"/>
          <w:szCs w:val="24"/>
        </w:rPr>
        <w:t xml:space="preserve">; d) functional traits across the </w:t>
      </w:r>
      <w:proofErr w:type="spellStart"/>
      <w:r>
        <w:rPr>
          <w:rFonts w:ascii="Times New Roman" w:hAnsi="Times New Roman" w:cs="Times New Roman"/>
          <w:sz w:val="24"/>
          <w:szCs w:val="24"/>
        </w:rPr>
        <w:t>FoRTE</w:t>
      </w:r>
      <w:proofErr w:type="spellEnd"/>
      <w:r>
        <w:rPr>
          <w:rFonts w:ascii="Times New Roman" w:hAnsi="Times New Roman" w:cs="Times New Roman"/>
          <w:sz w:val="24"/>
          <w:szCs w:val="24"/>
        </w:rPr>
        <w:t xml:space="preserve"> manipulation, 2018-2021. Asterisks (*) denote significantly different (p &lt; 0.05) mean values using Fisher’s LSD multiple comparisons test. All statistical parameters are included in Table SX.</w:t>
      </w:r>
    </w:p>
    <w:p w14:paraId="3D9C6396" w14:textId="284F3E37" w:rsidR="00346B57" w:rsidRDefault="00B25454" w:rsidP="00420FB9">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44C4FB8" wp14:editId="2E9B3D81">
            <wp:extent cx="3443605" cy="678401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3443605" cy="6784010"/>
                    </a:xfrm>
                    <a:prstGeom prst="rect">
                      <a:avLst/>
                    </a:prstGeom>
                  </pic:spPr>
                </pic:pic>
              </a:graphicData>
            </a:graphic>
          </wp:inline>
        </w:drawing>
      </w:r>
    </w:p>
    <w:p w14:paraId="60BDD850" w14:textId="3B3951B2" w:rsidR="00B25454" w:rsidRDefault="00B25454" w:rsidP="00B25454">
      <w:pPr>
        <w:spacing w:line="480" w:lineRule="auto"/>
        <w:rPr>
          <w:rFonts w:ascii="Times New Roman" w:hAnsi="Times New Roman" w:cs="Times New Roman"/>
          <w:sz w:val="24"/>
          <w:szCs w:val="24"/>
        </w:rPr>
      </w:pPr>
      <w:r w:rsidRPr="00F17BF0">
        <w:rPr>
          <w:rFonts w:ascii="Times New Roman" w:hAnsi="Times New Roman" w:cs="Times New Roman"/>
          <w:b/>
          <w:bCs/>
          <w:sz w:val="24"/>
          <w:szCs w:val="24"/>
        </w:rPr>
        <w:t xml:space="preserve">Figure </w:t>
      </w:r>
      <w:r w:rsidR="00F04A8D">
        <w:rPr>
          <w:rFonts w:ascii="Times New Roman" w:hAnsi="Times New Roman" w:cs="Times New Roman"/>
          <w:b/>
          <w:bCs/>
          <w:sz w:val="24"/>
          <w:szCs w:val="24"/>
        </w:rPr>
        <w:t>4</w:t>
      </w:r>
      <w:r w:rsidRPr="00F17BF0">
        <w:rPr>
          <w:rFonts w:ascii="Times New Roman" w:hAnsi="Times New Roman" w:cs="Times New Roman"/>
          <w:b/>
          <w:bCs/>
          <w:sz w:val="24"/>
          <w:szCs w:val="24"/>
        </w:rPr>
        <w:t>.</w:t>
      </w:r>
      <w:r>
        <w:rPr>
          <w:rFonts w:ascii="Times New Roman" w:hAnsi="Times New Roman" w:cs="Times New Roman"/>
          <w:sz w:val="24"/>
          <w:szCs w:val="24"/>
        </w:rPr>
        <w:t xml:space="preserve"> Bivariate plots illustrating leaf physiological (light-saturated rate of photosynthesis, a; and stomatal conductance, b), morphological (leaf mass per area, c), and optical (red edge NDVI, d) relationships with canopy vegetative area index (VAI) as assessed in linear mixed effect </w:t>
      </w:r>
      <w:r>
        <w:rPr>
          <w:rFonts w:ascii="Times New Roman" w:hAnsi="Times New Roman" w:cs="Times New Roman"/>
          <w:sz w:val="24"/>
          <w:szCs w:val="24"/>
        </w:rPr>
        <w:lastRenderedPageBreak/>
        <w:t>models (a, c, d) or multiple regression (b) with VAI, Year, and their interaction as predictors. Interactions (slopes of regression lines) with non-overlapping, non-zero 95 % confidence intervals found to have significant differences in a post hoc pairwise comparison (</w:t>
      </w:r>
      <w:r w:rsidRPr="00765F0B">
        <w:rPr>
          <w:rFonts w:ascii="Times New Roman" w:hAnsi="Times New Roman" w:cs="Times New Roman"/>
          <w:i/>
          <w:iCs/>
          <w:sz w:val="24"/>
          <w:szCs w:val="24"/>
        </w:rPr>
        <w:t>p</w:t>
      </w:r>
      <w:r>
        <w:rPr>
          <w:rFonts w:ascii="Times New Roman" w:hAnsi="Times New Roman" w:cs="Times New Roman"/>
          <w:sz w:val="24"/>
          <w:szCs w:val="24"/>
        </w:rPr>
        <w:t xml:space="preserve"> &lt; 0.001) are shown, with lines for specific year-by-VAI interactions illustrated in color and black lines illustrating</w:t>
      </w:r>
    </w:p>
    <w:p w14:paraId="03129C66" w14:textId="49A8DB9F" w:rsidR="00B25454" w:rsidRDefault="00B25454" w:rsidP="00420FB9">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754D43" wp14:editId="1D2B5B53">
            <wp:extent cx="5943600" cy="4020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943600" cy="4020820"/>
                    </a:xfrm>
                    <a:prstGeom prst="rect">
                      <a:avLst/>
                    </a:prstGeom>
                  </pic:spPr>
                </pic:pic>
              </a:graphicData>
            </a:graphic>
          </wp:inline>
        </w:drawing>
      </w:r>
    </w:p>
    <w:p w14:paraId="7F04E8AA" w14:textId="5B9669A4" w:rsidR="00B25454" w:rsidRDefault="00B25454" w:rsidP="00B25454">
      <w:pPr>
        <w:spacing w:line="480" w:lineRule="auto"/>
        <w:rPr>
          <w:rFonts w:ascii="Times New Roman" w:hAnsi="Times New Roman" w:cs="Times New Roman"/>
          <w:sz w:val="24"/>
          <w:szCs w:val="24"/>
        </w:rPr>
      </w:pPr>
      <w:r w:rsidRPr="00766AB7">
        <w:rPr>
          <w:rFonts w:ascii="Times New Roman" w:hAnsi="Times New Roman" w:cs="Times New Roman"/>
          <w:b/>
          <w:bCs/>
          <w:sz w:val="24"/>
          <w:szCs w:val="24"/>
        </w:rPr>
        <w:t xml:space="preserve">Figure </w:t>
      </w:r>
      <w:r w:rsidR="00F04A8D">
        <w:rPr>
          <w:rFonts w:ascii="Times New Roman" w:hAnsi="Times New Roman" w:cs="Times New Roman"/>
          <w:b/>
          <w:bCs/>
          <w:sz w:val="24"/>
          <w:szCs w:val="24"/>
        </w:rPr>
        <w:t>5</w:t>
      </w:r>
      <w:r w:rsidRPr="00766AB7">
        <w:rPr>
          <w:rFonts w:ascii="Times New Roman" w:hAnsi="Times New Roman" w:cs="Times New Roman"/>
          <w:b/>
          <w:bCs/>
          <w:sz w:val="24"/>
          <w:szCs w:val="24"/>
        </w:rPr>
        <w:t xml:space="preserve">. </w:t>
      </w:r>
      <w:r>
        <w:rPr>
          <w:rFonts w:ascii="Times New Roman" w:hAnsi="Times New Roman" w:cs="Times New Roman"/>
          <w:sz w:val="24"/>
          <w:szCs w:val="24"/>
        </w:rPr>
        <w:t>Subcanopy aboveground net primary production of wood (</w:t>
      </w:r>
      <w:proofErr w:type="spellStart"/>
      <w:r>
        <w:rPr>
          <w:rFonts w:ascii="Times New Roman" w:hAnsi="Times New Roman" w:cs="Times New Roman"/>
          <w:sz w:val="24"/>
          <w:szCs w:val="24"/>
        </w:rPr>
        <w:t>ANPP</w:t>
      </w:r>
      <w:r w:rsidRPr="00766AB7">
        <w:rPr>
          <w:rFonts w:ascii="Times New Roman" w:hAnsi="Times New Roman" w:cs="Times New Roman"/>
          <w:sz w:val="24"/>
          <w:szCs w:val="24"/>
          <w:vertAlign w:val="subscript"/>
        </w:rPr>
        <w:t>w</w:t>
      </w:r>
      <w:proofErr w:type="spellEnd"/>
      <w:r>
        <w:rPr>
          <w:rFonts w:ascii="Times New Roman" w:hAnsi="Times New Roman" w:cs="Times New Roman"/>
          <w:sz w:val="24"/>
          <w:szCs w:val="24"/>
        </w:rPr>
        <w:t xml:space="preserve">) across the </w:t>
      </w:r>
      <w:proofErr w:type="spellStart"/>
      <w:r>
        <w:rPr>
          <w:rFonts w:ascii="Times New Roman" w:hAnsi="Times New Roman" w:cs="Times New Roman"/>
          <w:sz w:val="24"/>
          <w:szCs w:val="24"/>
        </w:rPr>
        <w:t>FoRTE</w:t>
      </w:r>
      <w:proofErr w:type="spellEnd"/>
      <w:r>
        <w:rPr>
          <w:rFonts w:ascii="Times New Roman" w:hAnsi="Times New Roman" w:cs="Times New Roman"/>
          <w:sz w:val="24"/>
          <w:szCs w:val="24"/>
        </w:rPr>
        <w:t xml:space="preserve"> disturbance manipulation. Asterisks denote distributions significantly different from the control in each year (</w:t>
      </w:r>
      <w:r w:rsidRPr="00765F0B">
        <w:rPr>
          <w:rFonts w:ascii="Times New Roman" w:hAnsi="Times New Roman" w:cs="Times New Roman"/>
          <w:i/>
          <w:iCs/>
          <w:sz w:val="24"/>
          <w:szCs w:val="24"/>
        </w:rPr>
        <w:t>p</w:t>
      </w:r>
      <w:r>
        <w:rPr>
          <w:rFonts w:ascii="Times New Roman" w:hAnsi="Times New Roman" w:cs="Times New Roman"/>
          <w:sz w:val="24"/>
          <w:szCs w:val="24"/>
        </w:rPr>
        <w:t xml:space="preserve"> &lt; 0.001, Fisher’s LSD). </w:t>
      </w:r>
    </w:p>
    <w:p w14:paraId="6DFE4404" w14:textId="0AAFAD55" w:rsidR="00B25454" w:rsidRDefault="0094562A" w:rsidP="00420FB9">
      <w:pPr>
        <w:spacing w:line="480" w:lineRule="auto"/>
        <w:rPr>
          <w:rFonts w:ascii="Times New Roman" w:hAnsi="Times New Roman" w:cs="Times New Roman"/>
          <w:sz w:val="24"/>
          <w:szCs w:val="24"/>
        </w:rPr>
      </w:pPr>
      <w:r w:rsidRPr="0094562A">
        <w:rPr>
          <w:rFonts w:ascii="Times New Roman" w:hAnsi="Times New Roman" w:cs="Times New Roman"/>
          <w:b/>
          <w:bCs/>
          <w:sz w:val="24"/>
          <w:szCs w:val="24"/>
        </w:rPr>
        <w:t>Table SX.</w:t>
      </w:r>
      <w:r>
        <w:rPr>
          <w:rFonts w:ascii="Times New Roman" w:hAnsi="Times New Roman" w:cs="Times New Roman"/>
          <w:sz w:val="24"/>
          <w:szCs w:val="24"/>
        </w:rPr>
        <w:t xml:space="preserve"> Summary of stepwise AIC model selection process for prediction of subcanopy </w:t>
      </w:r>
      <w:proofErr w:type="spellStart"/>
      <w:r>
        <w:rPr>
          <w:rFonts w:ascii="Times New Roman" w:hAnsi="Times New Roman" w:cs="Times New Roman"/>
          <w:sz w:val="24"/>
          <w:szCs w:val="24"/>
        </w:rPr>
        <w:t>ANPP</w:t>
      </w:r>
      <w:r w:rsidRPr="0094562A">
        <w:rPr>
          <w:rFonts w:ascii="Times New Roman" w:hAnsi="Times New Roman" w:cs="Times New Roman"/>
          <w:sz w:val="24"/>
          <w:szCs w:val="24"/>
          <w:vertAlign w:val="subscript"/>
        </w:rPr>
        <w:t>w</w:t>
      </w:r>
      <w:proofErr w:type="spellEnd"/>
      <w:r>
        <w:rPr>
          <w:rFonts w:ascii="Times New Roman" w:hAnsi="Times New Roman" w:cs="Times New Roman"/>
          <w:sz w:val="24"/>
          <w:szCs w:val="24"/>
        </w:rPr>
        <w:t xml:space="preserve"> from CWM leaf functional traits. All candidate models were fit using </w:t>
      </w:r>
      <w:proofErr w:type="spellStart"/>
      <w:proofErr w:type="gramStart"/>
      <w:r w:rsidRPr="0094562A">
        <w:rPr>
          <w:rFonts w:ascii="Times New Roman" w:hAnsi="Times New Roman" w:cs="Times New Roman"/>
          <w:i/>
          <w:iCs/>
          <w:sz w:val="24"/>
          <w:szCs w:val="24"/>
        </w:rPr>
        <w:t>stepAIC</w:t>
      </w:r>
      <w:proofErr w:type="spellEnd"/>
      <w:r w:rsidRPr="0094562A">
        <w:rPr>
          <w:rFonts w:ascii="Times New Roman" w:hAnsi="Times New Roman" w:cs="Times New Roman"/>
          <w:i/>
          <w:iCs/>
          <w:sz w:val="24"/>
          <w:szCs w:val="24"/>
        </w:rPr>
        <w:t>(</w:t>
      </w:r>
      <w:proofErr w:type="gramEnd"/>
      <w:r w:rsidRPr="0094562A">
        <w:rPr>
          <w:rFonts w:ascii="Times New Roman" w:hAnsi="Times New Roman" w:cs="Times New Roman"/>
          <w:i/>
          <w:iCs/>
          <w:sz w:val="24"/>
          <w:szCs w:val="24"/>
        </w:rPr>
        <w:t>)</w:t>
      </w:r>
      <w:r>
        <w:rPr>
          <w:rFonts w:ascii="Times New Roman" w:hAnsi="Times New Roman" w:cs="Times New Roman"/>
          <w:sz w:val="24"/>
          <w:szCs w:val="24"/>
        </w:rPr>
        <w:t xml:space="preserve"> function </w:t>
      </w:r>
      <w:r>
        <w:rPr>
          <w:rFonts w:ascii="Times New Roman" w:hAnsi="Times New Roman" w:cs="Times New Roman"/>
          <w:sz w:val="24"/>
          <w:szCs w:val="24"/>
        </w:rPr>
        <w:lastRenderedPageBreak/>
        <w:t xml:space="preserve">from package </w:t>
      </w:r>
      <w:r w:rsidRPr="0094562A">
        <w:rPr>
          <w:rFonts w:ascii="Times New Roman" w:hAnsi="Times New Roman" w:cs="Times New Roman"/>
          <w:i/>
          <w:iCs/>
          <w:sz w:val="24"/>
          <w:szCs w:val="24"/>
        </w:rPr>
        <w:t>MASS</w:t>
      </w:r>
      <w:r>
        <w:rPr>
          <w:rFonts w:ascii="Times New Roman" w:hAnsi="Times New Roman" w:cs="Times New Roman"/>
          <w:sz w:val="24"/>
          <w:szCs w:val="24"/>
        </w:rPr>
        <w:t xml:space="preserve"> in R. To generate </w:t>
      </w:r>
      <w:proofErr w:type="spellStart"/>
      <w:r>
        <w:rPr>
          <w:rFonts w:ascii="Times New Roman" w:hAnsi="Times New Roman" w:cs="Times New Roman"/>
          <w:sz w:val="24"/>
          <w:szCs w:val="24"/>
        </w:rPr>
        <w:t>AICc</w:t>
      </w:r>
      <w:proofErr w:type="spellEnd"/>
      <w:r>
        <w:rPr>
          <w:rFonts w:ascii="Times New Roman" w:hAnsi="Times New Roman" w:cs="Times New Roman"/>
          <w:sz w:val="24"/>
          <w:szCs w:val="24"/>
        </w:rPr>
        <w:t xml:space="preserve"> scores, </w:t>
      </w:r>
      <w:r w:rsidR="00E32E7A">
        <w:rPr>
          <w:rFonts w:ascii="Times New Roman" w:hAnsi="Times New Roman" w:cs="Times New Roman"/>
          <w:sz w:val="24"/>
          <w:szCs w:val="24"/>
        </w:rPr>
        <w:t xml:space="preserve">we used function </w:t>
      </w:r>
      <w:proofErr w:type="spellStart"/>
      <w:proofErr w:type="gramStart"/>
      <w:r w:rsidR="00E32E7A" w:rsidRPr="00E32E7A">
        <w:rPr>
          <w:rFonts w:ascii="Times New Roman" w:hAnsi="Times New Roman" w:cs="Times New Roman"/>
          <w:i/>
          <w:iCs/>
          <w:sz w:val="24"/>
          <w:szCs w:val="24"/>
        </w:rPr>
        <w:t>AICc</w:t>
      </w:r>
      <w:proofErr w:type="spellEnd"/>
      <w:r w:rsidR="00E32E7A" w:rsidRPr="00E32E7A">
        <w:rPr>
          <w:rFonts w:ascii="Times New Roman" w:hAnsi="Times New Roman" w:cs="Times New Roman"/>
          <w:i/>
          <w:iCs/>
          <w:sz w:val="24"/>
          <w:szCs w:val="24"/>
        </w:rPr>
        <w:t>(</w:t>
      </w:r>
      <w:proofErr w:type="gramEnd"/>
      <w:r w:rsidR="00E32E7A" w:rsidRPr="00E32E7A">
        <w:rPr>
          <w:rFonts w:ascii="Times New Roman" w:hAnsi="Times New Roman" w:cs="Times New Roman"/>
          <w:i/>
          <w:iCs/>
          <w:sz w:val="24"/>
          <w:szCs w:val="24"/>
        </w:rPr>
        <w:t>)</w:t>
      </w:r>
      <w:r w:rsidR="00E32E7A">
        <w:rPr>
          <w:rFonts w:ascii="Times New Roman" w:hAnsi="Times New Roman" w:cs="Times New Roman"/>
          <w:sz w:val="24"/>
          <w:szCs w:val="24"/>
        </w:rPr>
        <w:t xml:space="preserve"> from package </w:t>
      </w:r>
      <w:proofErr w:type="spellStart"/>
      <w:r w:rsidR="00E32E7A" w:rsidRPr="00E32E7A">
        <w:rPr>
          <w:rFonts w:ascii="Times New Roman" w:hAnsi="Times New Roman" w:cs="Times New Roman"/>
          <w:i/>
          <w:iCs/>
          <w:sz w:val="24"/>
          <w:szCs w:val="24"/>
        </w:rPr>
        <w:t>MuMIn</w:t>
      </w:r>
      <w:proofErr w:type="spellEnd"/>
      <w:r w:rsidR="00E32E7A">
        <w:rPr>
          <w:rFonts w:ascii="Times New Roman" w:hAnsi="Times New Roman" w:cs="Times New Roman"/>
          <w:sz w:val="24"/>
          <w:szCs w:val="24"/>
        </w:rPr>
        <w:t>.</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2488"/>
        <w:gridCol w:w="1381"/>
        <w:gridCol w:w="1578"/>
        <w:gridCol w:w="1404"/>
        <w:gridCol w:w="1174"/>
        <w:gridCol w:w="1335"/>
      </w:tblGrid>
      <w:tr w:rsidR="00E32E7A" w14:paraId="5A2EDF5E" w14:textId="77777777" w:rsidTr="00883294">
        <w:trPr>
          <w:trHeight w:val="510"/>
        </w:trPr>
        <w:tc>
          <w:tcPr>
            <w:tcW w:w="2486" w:type="dxa"/>
            <w:tcBorders>
              <w:top w:val="nil"/>
              <w:left w:val="nil"/>
              <w:bottom w:val="single" w:sz="8" w:space="0" w:color="000000"/>
              <w:right w:val="nil"/>
            </w:tcBorders>
            <w:tcMar>
              <w:top w:w="80" w:type="dxa"/>
              <w:left w:w="140" w:type="dxa"/>
              <w:bottom w:w="80" w:type="dxa"/>
              <w:right w:w="140" w:type="dxa"/>
            </w:tcMar>
          </w:tcPr>
          <w:p w14:paraId="1A4418E7" w14:textId="34364531" w:rsidR="00E32E7A" w:rsidRPr="00E32E7A" w:rsidRDefault="00E32E7A" w:rsidP="00E32E7A">
            <w:pPr>
              <w:widowControl w:val="0"/>
              <w:jc w:val="center"/>
              <w:rPr>
                <w:rFonts w:ascii="Times New Roman" w:eastAsia="Times New Roman" w:hAnsi="Times New Roman" w:cs="Times New Roman"/>
                <w:b/>
                <w:bCs/>
                <w:iCs/>
                <w:sz w:val="24"/>
                <w:szCs w:val="24"/>
              </w:rPr>
            </w:pPr>
            <w:r w:rsidRPr="00E32E7A">
              <w:rPr>
                <w:rFonts w:ascii="Times New Roman" w:eastAsia="Times New Roman" w:hAnsi="Times New Roman" w:cs="Times New Roman"/>
                <w:b/>
                <w:bCs/>
                <w:iCs/>
                <w:sz w:val="24"/>
                <w:szCs w:val="24"/>
              </w:rPr>
              <w:t>Predictors</w:t>
            </w:r>
          </w:p>
        </w:tc>
        <w:tc>
          <w:tcPr>
            <w:tcW w:w="1381" w:type="dxa"/>
            <w:tcBorders>
              <w:top w:val="nil"/>
              <w:left w:val="nil"/>
              <w:bottom w:val="single" w:sz="8" w:space="0" w:color="000000"/>
              <w:right w:val="nil"/>
            </w:tcBorders>
            <w:tcMar>
              <w:top w:w="80" w:type="dxa"/>
              <w:left w:w="140" w:type="dxa"/>
              <w:bottom w:w="80" w:type="dxa"/>
              <w:right w:w="140" w:type="dxa"/>
            </w:tcMar>
          </w:tcPr>
          <w:p w14:paraId="417C031A" w14:textId="77777777" w:rsidR="00E32E7A" w:rsidRPr="00E32E7A" w:rsidRDefault="00E32E7A" w:rsidP="00E32E7A">
            <w:pPr>
              <w:jc w:val="center"/>
              <w:rPr>
                <w:rFonts w:ascii="Times New Roman" w:eastAsia="Times New Roman" w:hAnsi="Times New Roman" w:cs="Times New Roman"/>
                <w:b/>
                <w:bCs/>
                <w:iCs/>
                <w:sz w:val="24"/>
                <w:szCs w:val="24"/>
                <w:vertAlign w:val="superscript"/>
              </w:rPr>
            </w:pPr>
            <w:r w:rsidRPr="00E32E7A">
              <w:rPr>
                <w:rFonts w:ascii="Times New Roman" w:eastAsia="Times New Roman" w:hAnsi="Times New Roman" w:cs="Times New Roman"/>
                <w:b/>
                <w:bCs/>
                <w:iCs/>
                <w:sz w:val="24"/>
                <w:szCs w:val="24"/>
              </w:rPr>
              <w:t>Adj. R</w:t>
            </w:r>
            <w:r w:rsidRPr="00E32E7A">
              <w:rPr>
                <w:rFonts w:ascii="Times New Roman" w:eastAsia="Times New Roman" w:hAnsi="Times New Roman" w:cs="Times New Roman"/>
                <w:b/>
                <w:bCs/>
                <w:iCs/>
                <w:sz w:val="24"/>
                <w:szCs w:val="24"/>
                <w:vertAlign w:val="superscript"/>
              </w:rPr>
              <w:t>2</w:t>
            </w:r>
          </w:p>
        </w:tc>
        <w:tc>
          <w:tcPr>
            <w:tcW w:w="1577" w:type="dxa"/>
            <w:tcBorders>
              <w:top w:val="nil"/>
              <w:left w:val="nil"/>
              <w:bottom w:val="single" w:sz="8" w:space="0" w:color="000000"/>
              <w:right w:val="nil"/>
            </w:tcBorders>
            <w:tcMar>
              <w:top w:w="80" w:type="dxa"/>
              <w:left w:w="140" w:type="dxa"/>
              <w:bottom w:w="80" w:type="dxa"/>
              <w:right w:w="140" w:type="dxa"/>
            </w:tcMar>
          </w:tcPr>
          <w:p w14:paraId="4D8FC43A" w14:textId="7516967D" w:rsidR="00E32E7A" w:rsidRPr="00E32E7A" w:rsidRDefault="00E32E7A" w:rsidP="00E32E7A">
            <w:pPr>
              <w:jc w:val="center"/>
              <w:rPr>
                <w:rFonts w:ascii="Times New Roman" w:eastAsia="Times New Roman" w:hAnsi="Times New Roman" w:cs="Times New Roman"/>
                <w:b/>
                <w:bCs/>
                <w:i/>
                <w:sz w:val="24"/>
                <w:szCs w:val="24"/>
              </w:rPr>
            </w:pPr>
            <w:r w:rsidRPr="00E32E7A">
              <w:rPr>
                <w:rFonts w:ascii="Times New Roman" w:eastAsia="Times New Roman" w:hAnsi="Times New Roman" w:cs="Times New Roman"/>
                <w:b/>
                <w:bCs/>
                <w:i/>
                <w:sz w:val="24"/>
                <w:szCs w:val="24"/>
              </w:rPr>
              <w:t>F</w:t>
            </w:r>
          </w:p>
        </w:tc>
        <w:tc>
          <w:tcPr>
            <w:tcW w:w="1404" w:type="dxa"/>
            <w:tcBorders>
              <w:top w:val="nil"/>
              <w:left w:val="nil"/>
              <w:bottom w:val="single" w:sz="8" w:space="0" w:color="000000"/>
              <w:right w:val="nil"/>
            </w:tcBorders>
            <w:tcMar>
              <w:top w:w="80" w:type="dxa"/>
              <w:left w:w="140" w:type="dxa"/>
              <w:bottom w:w="80" w:type="dxa"/>
              <w:right w:w="140" w:type="dxa"/>
            </w:tcMar>
          </w:tcPr>
          <w:p w14:paraId="1F67BF5C" w14:textId="378CD04E" w:rsidR="00E32E7A" w:rsidRPr="00E32E7A" w:rsidRDefault="00E32E7A" w:rsidP="00E32E7A">
            <w:pPr>
              <w:jc w:val="center"/>
              <w:rPr>
                <w:rFonts w:ascii="Times New Roman" w:eastAsia="Times New Roman" w:hAnsi="Times New Roman" w:cs="Times New Roman"/>
                <w:b/>
                <w:bCs/>
                <w:i/>
                <w:sz w:val="24"/>
                <w:szCs w:val="24"/>
              </w:rPr>
            </w:pPr>
            <w:r w:rsidRPr="00E32E7A">
              <w:rPr>
                <w:rFonts w:ascii="Times New Roman" w:eastAsia="Times New Roman" w:hAnsi="Times New Roman" w:cs="Times New Roman"/>
                <w:b/>
                <w:bCs/>
                <w:i/>
                <w:sz w:val="24"/>
                <w:szCs w:val="24"/>
              </w:rPr>
              <w:t>p</w:t>
            </w:r>
          </w:p>
        </w:tc>
        <w:tc>
          <w:tcPr>
            <w:tcW w:w="1174" w:type="dxa"/>
            <w:tcBorders>
              <w:top w:val="nil"/>
              <w:left w:val="nil"/>
              <w:bottom w:val="single" w:sz="8" w:space="0" w:color="000000"/>
              <w:right w:val="nil"/>
            </w:tcBorders>
            <w:tcMar>
              <w:top w:w="80" w:type="dxa"/>
              <w:left w:w="140" w:type="dxa"/>
              <w:bottom w:w="80" w:type="dxa"/>
              <w:right w:w="140" w:type="dxa"/>
            </w:tcMar>
          </w:tcPr>
          <w:p w14:paraId="6A25018A" w14:textId="77777777" w:rsidR="00E32E7A" w:rsidRPr="00E32E7A" w:rsidRDefault="00E32E7A" w:rsidP="00E32E7A">
            <w:pPr>
              <w:jc w:val="center"/>
              <w:rPr>
                <w:rFonts w:ascii="Times New Roman" w:eastAsia="Times New Roman" w:hAnsi="Times New Roman" w:cs="Times New Roman"/>
                <w:b/>
                <w:bCs/>
                <w:iCs/>
                <w:sz w:val="24"/>
                <w:szCs w:val="24"/>
              </w:rPr>
            </w:pPr>
            <w:r w:rsidRPr="00E32E7A">
              <w:rPr>
                <w:rFonts w:ascii="Times New Roman" w:eastAsia="Times New Roman" w:hAnsi="Times New Roman" w:cs="Times New Roman"/>
                <w:b/>
                <w:bCs/>
                <w:iCs/>
                <w:sz w:val="24"/>
                <w:szCs w:val="24"/>
              </w:rPr>
              <w:t>AIC</w:t>
            </w:r>
          </w:p>
        </w:tc>
        <w:tc>
          <w:tcPr>
            <w:tcW w:w="1335" w:type="dxa"/>
            <w:tcBorders>
              <w:top w:val="nil"/>
              <w:left w:val="nil"/>
              <w:bottom w:val="single" w:sz="8" w:space="0" w:color="000000"/>
              <w:right w:val="nil"/>
            </w:tcBorders>
            <w:tcMar>
              <w:top w:w="80" w:type="dxa"/>
              <w:left w:w="140" w:type="dxa"/>
              <w:bottom w:w="80" w:type="dxa"/>
              <w:right w:w="140" w:type="dxa"/>
            </w:tcMar>
          </w:tcPr>
          <w:p w14:paraId="28B8F229" w14:textId="77777777" w:rsidR="00E32E7A" w:rsidRPr="00E32E7A" w:rsidRDefault="00E32E7A" w:rsidP="00E32E7A">
            <w:pPr>
              <w:jc w:val="center"/>
              <w:rPr>
                <w:rFonts w:ascii="Times New Roman" w:eastAsia="Times New Roman" w:hAnsi="Times New Roman" w:cs="Times New Roman"/>
                <w:b/>
                <w:bCs/>
                <w:iCs/>
                <w:sz w:val="24"/>
                <w:szCs w:val="24"/>
              </w:rPr>
            </w:pPr>
            <w:proofErr w:type="spellStart"/>
            <w:r w:rsidRPr="00E32E7A">
              <w:rPr>
                <w:rFonts w:ascii="Times New Roman" w:eastAsia="Times New Roman" w:hAnsi="Times New Roman" w:cs="Times New Roman"/>
                <w:b/>
                <w:bCs/>
                <w:iCs/>
                <w:sz w:val="24"/>
                <w:szCs w:val="24"/>
              </w:rPr>
              <w:t>AICc</w:t>
            </w:r>
            <w:proofErr w:type="spellEnd"/>
          </w:p>
        </w:tc>
      </w:tr>
      <w:tr w:rsidR="00E32E7A" w14:paraId="702FF7D1" w14:textId="77777777" w:rsidTr="00E32E7A">
        <w:trPr>
          <w:trHeight w:val="1170"/>
        </w:trPr>
        <w:tc>
          <w:tcPr>
            <w:tcW w:w="2486" w:type="dxa"/>
            <w:tcBorders>
              <w:top w:val="double" w:sz="4" w:space="0" w:color="auto"/>
              <w:left w:val="nil"/>
              <w:bottom w:val="single" w:sz="8" w:space="0" w:color="000000"/>
              <w:right w:val="nil"/>
            </w:tcBorders>
            <w:tcMar>
              <w:top w:w="80" w:type="dxa"/>
              <w:left w:w="140" w:type="dxa"/>
              <w:bottom w:w="80" w:type="dxa"/>
              <w:right w:w="140" w:type="dxa"/>
            </w:tcMar>
          </w:tcPr>
          <w:p w14:paraId="7DA07327" w14:textId="77777777" w:rsidR="00E32E7A" w:rsidRDefault="009A7429" w:rsidP="009A7429">
            <w:pPr>
              <w:pStyle w:val="NoSpacing"/>
              <w:rPr>
                <w:vertAlign w:val="subscript"/>
              </w:rPr>
            </w:pPr>
            <w:proofErr w:type="spellStart"/>
            <w:r>
              <w:t>A</w:t>
            </w:r>
            <w:r w:rsidRPr="009A7429">
              <w:rPr>
                <w:vertAlign w:val="subscript"/>
              </w:rPr>
              <w:t>sat</w:t>
            </w:r>
            <w:proofErr w:type="spellEnd"/>
          </w:p>
          <w:p w14:paraId="6836A2DD" w14:textId="77777777" w:rsidR="009A7429" w:rsidRDefault="009A7429" w:rsidP="009A7429">
            <w:pPr>
              <w:pStyle w:val="NoSpacing"/>
              <w:rPr>
                <w:vertAlign w:val="subscript"/>
              </w:rPr>
            </w:pPr>
            <w:proofErr w:type="spellStart"/>
            <w:r>
              <w:t>g</w:t>
            </w:r>
            <w:r w:rsidRPr="009A7429">
              <w:rPr>
                <w:vertAlign w:val="subscript"/>
              </w:rPr>
              <w:t>s</w:t>
            </w:r>
            <w:proofErr w:type="spellEnd"/>
          </w:p>
          <w:p w14:paraId="2BDE1366" w14:textId="77777777" w:rsidR="009A7429" w:rsidRDefault="009A7429" w:rsidP="009A7429">
            <w:pPr>
              <w:pStyle w:val="NoSpacing"/>
            </w:pPr>
            <w:r>
              <w:t>LMA</w:t>
            </w:r>
          </w:p>
          <w:p w14:paraId="58646C27" w14:textId="77777777" w:rsidR="009A7429" w:rsidRDefault="009A7429" w:rsidP="009A7429">
            <w:pPr>
              <w:pStyle w:val="NoSpacing"/>
            </w:pPr>
            <w:proofErr w:type="spellStart"/>
            <w:r>
              <w:t>reNDVI</w:t>
            </w:r>
            <w:proofErr w:type="spellEnd"/>
          </w:p>
          <w:p w14:paraId="3E5E6027" w14:textId="77A8D338" w:rsidR="009A7429" w:rsidRPr="009A7429" w:rsidRDefault="009A7429" w:rsidP="009A7429">
            <w:pPr>
              <w:pStyle w:val="NoSpacing"/>
            </w:pPr>
            <w:r>
              <w:t>replicate</w:t>
            </w:r>
          </w:p>
        </w:tc>
        <w:tc>
          <w:tcPr>
            <w:tcW w:w="1381" w:type="dxa"/>
            <w:tcBorders>
              <w:top w:val="double" w:sz="4" w:space="0" w:color="auto"/>
              <w:left w:val="nil"/>
              <w:bottom w:val="single" w:sz="8" w:space="0" w:color="000000"/>
              <w:right w:val="nil"/>
            </w:tcBorders>
            <w:tcMar>
              <w:top w:w="80" w:type="dxa"/>
              <w:left w:w="140" w:type="dxa"/>
              <w:bottom w:w="80" w:type="dxa"/>
              <w:right w:w="140" w:type="dxa"/>
            </w:tcMar>
          </w:tcPr>
          <w:p w14:paraId="459B7DED" w14:textId="76035DD4" w:rsidR="00E32E7A" w:rsidRDefault="001A3423" w:rsidP="009A7429">
            <w:pPr>
              <w:pStyle w:val="NoSpacing"/>
            </w:pPr>
            <w:r>
              <w:t>0.235</w:t>
            </w:r>
          </w:p>
        </w:tc>
        <w:tc>
          <w:tcPr>
            <w:tcW w:w="1577" w:type="dxa"/>
            <w:tcBorders>
              <w:top w:val="double" w:sz="4" w:space="0" w:color="auto"/>
              <w:left w:val="nil"/>
              <w:bottom w:val="single" w:sz="8" w:space="0" w:color="000000"/>
              <w:right w:val="nil"/>
            </w:tcBorders>
            <w:tcMar>
              <w:top w:w="80" w:type="dxa"/>
              <w:left w:w="140" w:type="dxa"/>
              <w:bottom w:w="80" w:type="dxa"/>
              <w:right w:w="140" w:type="dxa"/>
            </w:tcMar>
          </w:tcPr>
          <w:p w14:paraId="793ACB0E" w14:textId="10C1F81E" w:rsidR="00E32E7A" w:rsidRDefault="001A3423" w:rsidP="009A7429">
            <w:pPr>
              <w:pStyle w:val="NoSpacing"/>
            </w:pPr>
            <w:r>
              <w:t>5.18</w:t>
            </w:r>
          </w:p>
        </w:tc>
        <w:tc>
          <w:tcPr>
            <w:tcW w:w="1404" w:type="dxa"/>
            <w:tcBorders>
              <w:top w:val="double" w:sz="4" w:space="0" w:color="auto"/>
              <w:left w:val="nil"/>
              <w:bottom w:val="single" w:sz="8" w:space="0" w:color="000000"/>
              <w:right w:val="nil"/>
            </w:tcBorders>
            <w:tcMar>
              <w:top w:w="80" w:type="dxa"/>
              <w:left w:w="140" w:type="dxa"/>
              <w:bottom w:w="80" w:type="dxa"/>
              <w:right w:w="140" w:type="dxa"/>
            </w:tcMar>
          </w:tcPr>
          <w:p w14:paraId="5F8CCFBF" w14:textId="638139C8" w:rsidR="00E32E7A" w:rsidRDefault="001A3423" w:rsidP="009A7429">
            <w:pPr>
              <w:pStyle w:val="NoSpacing"/>
            </w:pPr>
            <w:r>
              <w:t>&lt; 0.001</w:t>
            </w:r>
          </w:p>
        </w:tc>
        <w:tc>
          <w:tcPr>
            <w:tcW w:w="1174" w:type="dxa"/>
            <w:tcBorders>
              <w:top w:val="double" w:sz="4" w:space="0" w:color="auto"/>
              <w:left w:val="nil"/>
              <w:bottom w:val="single" w:sz="8" w:space="0" w:color="000000"/>
              <w:right w:val="nil"/>
            </w:tcBorders>
            <w:tcMar>
              <w:top w:w="80" w:type="dxa"/>
              <w:left w:w="140" w:type="dxa"/>
              <w:bottom w:w="80" w:type="dxa"/>
              <w:right w:w="140" w:type="dxa"/>
            </w:tcMar>
          </w:tcPr>
          <w:p w14:paraId="380AAF60" w14:textId="52B58C3F" w:rsidR="00E32E7A" w:rsidRDefault="009A7429" w:rsidP="009A7429">
            <w:pPr>
              <w:pStyle w:val="NoSpacing"/>
            </w:pPr>
            <w:r>
              <w:t>33.06</w:t>
            </w:r>
          </w:p>
        </w:tc>
        <w:tc>
          <w:tcPr>
            <w:tcW w:w="1335" w:type="dxa"/>
            <w:tcBorders>
              <w:top w:val="double" w:sz="4" w:space="0" w:color="auto"/>
              <w:left w:val="nil"/>
              <w:bottom w:val="single" w:sz="8" w:space="0" w:color="000000"/>
              <w:right w:val="nil"/>
            </w:tcBorders>
            <w:tcMar>
              <w:top w:w="80" w:type="dxa"/>
              <w:left w:w="140" w:type="dxa"/>
              <w:bottom w:w="80" w:type="dxa"/>
              <w:right w:w="140" w:type="dxa"/>
            </w:tcMar>
          </w:tcPr>
          <w:p w14:paraId="0CF6B950" w14:textId="662CAE8B" w:rsidR="00E32E7A" w:rsidRDefault="00033DA2" w:rsidP="009A7429">
            <w:pPr>
              <w:pStyle w:val="NoSpacing"/>
            </w:pPr>
            <w:r>
              <w:t>309.85</w:t>
            </w:r>
          </w:p>
        </w:tc>
      </w:tr>
      <w:tr w:rsidR="00E32E7A" w14:paraId="5FEB5A19" w14:textId="77777777" w:rsidTr="00883294">
        <w:trPr>
          <w:trHeight w:val="750"/>
        </w:trPr>
        <w:tc>
          <w:tcPr>
            <w:tcW w:w="2486" w:type="dxa"/>
            <w:tcBorders>
              <w:top w:val="single" w:sz="8" w:space="0" w:color="000000"/>
              <w:left w:val="nil"/>
              <w:bottom w:val="single" w:sz="8" w:space="0" w:color="000000"/>
              <w:right w:val="nil"/>
            </w:tcBorders>
            <w:tcMar>
              <w:top w:w="80" w:type="dxa"/>
              <w:left w:w="140" w:type="dxa"/>
              <w:bottom w:w="80" w:type="dxa"/>
              <w:right w:w="140" w:type="dxa"/>
            </w:tcMar>
          </w:tcPr>
          <w:p w14:paraId="4C2C81CC" w14:textId="77777777" w:rsidR="009A7429" w:rsidRDefault="009A7429" w:rsidP="009A7429">
            <w:pPr>
              <w:pStyle w:val="NoSpacing"/>
              <w:rPr>
                <w:vertAlign w:val="subscript"/>
              </w:rPr>
            </w:pPr>
            <w:proofErr w:type="spellStart"/>
            <w:r>
              <w:t>A</w:t>
            </w:r>
            <w:r w:rsidRPr="009A7429">
              <w:rPr>
                <w:vertAlign w:val="subscript"/>
              </w:rPr>
              <w:t>sat</w:t>
            </w:r>
            <w:proofErr w:type="spellEnd"/>
          </w:p>
          <w:p w14:paraId="627C59F5" w14:textId="77777777" w:rsidR="009A7429" w:rsidRDefault="009A7429" w:rsidP="009A7429">
            <w:pPr>
              <w:pStyle w:val="NoSpacing"/>
              <w:rPr>
                <w:vertAlign w:val="subscript"/>
              </w:rPr>
            </w:pPr>
            <w:proofErr w:type="spellStart"/>
            <w:r>
              <w:t>g</w:t>
            </w:r>
            <w:r w:rsidRPr="009A7429">
              <w:rPr>
                <w:vertAlign w:val="subscript"/>
              </w:rPr>
              <w:t>s</w:t>
            </w:r>
            <w:proofErr w:type="spellEnd"/>
          </w:p>
          <w:p w14:paraId="60021FD8" w14:textId="77777777" w:rsidR="009A7429" w:rsidRDefault="009A7429" w:rsidP="009A7429">
            <w:pPr>
              <w:pStyle w:val="NoSpacing"/>
            </w:pPr>
            <w:proofErr w:type="spellStart"/>
            <w:r>
              <w:t>reNDVI</w:t>
            </w:r>
            <w:proofErr w:type="spellEnd"/>
          </w:p>
          <w:p w14:paraId="56F995B2" w14:textId="4C8C9E60" w:rsidR="00E32E7A" w:rsidRPr="009A7429" w:rsidRDefault="009A7429" w:rsidP="009A7429">
            <w:pPr>
              <w:pStyle w:val="NoSpacing"/>
            </w:pPr>
            <w:r>
              <w:t>replicate</w:t>
            </w:r>
          </w:p>
        </w:tc>
        <w:tc>
          <w:tcPr>
            <w:tcW w:w="1381" w:type="dxa"/>
            <w:tcBorders>
              <w:top w:val="single" w:sz="8" w:space="0" w:color="000000"/>
              <w:left w:val="nil"/>
              <w:bottom w:val="single" w:sz="8" w:space="0" w:color="000000"/>
              <w:right w:val="nil"/>
            </w:tcBorders>
            <w:tcMar>
              <w:top w:w="80" w:type="dxa"/>
              <w:left w:w="140" w:type="dxa"/>
              <w:bottom w:w="80" w:type="dxa"/>
              <w:right w:w="140" w:type="dxa"/>
            </w:tcMar>
          </w:tcPr>
          <w:p w14:paraId="3FF0B896" w14:textId="7A3381A0" w:rsidR="00E32E7A" w:rsidRDefault="001A3423" w:rsidP="009A7429">
            <w:pPr>
              <w:pStyle w:val="NoSpacing"/>
            </w:pPr>
            <w:r>
              <w:t>0.244</w:t>
            </w:r>
          </w:p>
        </w:tc>
        <w:tc>
          <w:tcPr>
            <w:tcW w:w="1577" w:type="dxa"/>
            <w:tcBorders>
              <w:top w:val="single" w:sz="8" w:space="0" w:color="000000"/>
              <w:left w:val="nil"/>
              <w:bottom w:val="single" w:sz="8" w:space="0" w:color="000000"/>
              <w:right w:val="nil"/>
            </w:tcBorders>
            <w:tcMar>
              <w:top w:w="80" w:type="dxa"/>
              <w:left w:w="140" w:type="dxa"/>
              <w:bottom w:w="80" w:type="dxa"/>
              <w:right w:w="140" w:type="dxa"/>
            </w:tcMar>
          </w:tcPr>
          <w:p w14:paraId="10E6340D" w14:textId="1F71CCB4" w:rsidR="00E32E7A" w:rsidRDefault="001A3423" w:rsidP="009A7429">
            <w:pPr>
              <w:pStyle w:val="NoSpacing"/>
            </w:pPr>
            <w:r>
              <w:t>6.11</w:t>
            </w:r>
          </w:p>
        </w:tc>
        <w:tc>
          <w:tcPr>
            <w:tcW w:w="1404" w:type="dxa"/>
            <w:tcBorders>
              <w:top w:val="single" w:sz="8" w:space="0" w:color="000000"/>
              <w:left w:val="nil"/>
              <w:bottom w:val="single" w:sz="8" w:space="0" w:color="000000"/>
              <w:right w:val="nil"/>
            </w:tcBorders>
            <w:tcMar>
              <w:top w:w="80" w:type="dxa"/>
              <w:left w:w="140" w:type="dxa"/>
              <w:bottom w:w="80" w:type="dxa"/>
              <w:right w:w="140" w:type="dxa"/>
            </w:tcMar>
          </w:tcPr>
          <w:p w14:paraId="6A679D3A" w14:textId="7FD8EBC5" w:rsidR="00E32E7A" w:rsidRDefault="001A3423" w:rsidP="009A7429">
            <w:pPr>
              <w:pStyle w:val="NoSpacing"/>
            </w:pPr>
            <w:r>
              <w:t>&lt; 0.001</w:t>
            </w:r>
          </w:p>
        </w:tc>
        <w:tc>
          <w:tcPr>
            <w:tcW w:w="1174" w:type="dxa"/>
            <w:tcBorders>
              <w:top w:val="single" w:sz="8" w:space="0" w:color="000000"/>
              <w:left w:val="nil"/>
              <w:bottom w:val="single" w:sz="8" w:space="0" w:color="000000"/>
              <w:right w:val="nil"/>
            </w:tcBorders>
            <w:tcMar>
              <w:top w:w="80" w:type="dxa"/>
              <w:left w:w="140" w:type="dxa"/>
              <w:bottom w:w="80" w:type="dxa"/>
              <w:right w:w="140" w:type="dxa"/>
            </w:tcMar>
          </w:tcPr>
          <w:p w14:paraId="2407B75A" w14:textId="17A8389E" w:rsidR="00E32E7A" w:rsidRDefault="009A7429" w:rsidP="009A7429">
            <w:pPr>
              <w:pStyle w:val="NoSpacing"/>
            </w:pPr>
            <w:r>
              <w:t>31.33</w:t>
            </w:r>
          </w:p>
        </w:tc>
        <w:tc>
          <w:tcPr>
            <w:tcW w:w="1335" w:type="dxa"/>
            <w:tcBorders>
              <w:top w:val="single" w:sz="8" w:space="0" w:color="000000"/>
              <w:left w:val="nil"/>
              <w:bottom w:val="single" w:sz="8" w:space="0" w:color="000000"/>
              <w:right w:val="nil"/>
            </w:tcBorders>
            <w:tcMar>
              <w:top w:w="80" w:type="dxa"/>
              <w:left w:w="140" w:type="dxa"/>
              <w:bottom w:w="80" w:type="dxa"/>
              <w:right w:w="140" w:type="dxa"/>
            </w:tcMar>
          </w:tcPr>
          <w:p w14:paraId="5711C625" w14:textId="3FFCCC34" w:rsidR="00E32E7A" w:rsidRDefault="001A3423" w:rsidP="009A7429">
            <w:pPr>
              <w:pStyle w:val="NoSpacing"/>
            </w:pPr>
            <w:r>
              <w:t>307.42</w:t>
            </w:r>
          </w:p>
        </w:tc>
      </w:tr>
      <w:tr w:rsidR="00E32E7A" w14:paraId="3183B251" w14:textId="77777777" w:rsidTr="009A7429">
        <w:trPr>
          <w:trHeight w:val="645"/>
        </w:trPr>
        <w:tc>
          <w:tcPr>
            <w:tcW w:w="2486" w:type="dxa"/>
            <w:tcBorders>
              <w:top w:val="single" w:sz="8" w:space="0" w:color="000000"/>
              <w:left w:val="nil"/>
              <w:bottom w:val="single" w:sz="8" w:space="0" w:color="000000"/>
              <w:right w:val="nil"/>
            </w:tcBorders>
            <w:tcMar>
              <w:top w:w="80" w:type="dxa"/>
              <w:left w:w="140" w:type="dxa"/>
              <w:bottom w:w="80" w:type="dxa"/>
              <w:right w:w="140" w:type="dxa"/>
            </w:tcMar>
          </w:tcPr>
          <w:p w14:paraId="39C8FB89" w14:textId="77777777" w:rsidR="009A7429" w:rsidRDefault="009A7429" w:rsidP="009A7429">
            <w:pPr>
              <w:pStyle w:val="NoSpacing"/>
              <w:rPr>
                <w:vertAlign w:val="subscript"/>
              </w:rPr>
            </w:pPr>
            <w:proofErr w:type="spellStart"/>
            <w:r>
              <w:t>A</w:t>
            </w:r>
            <w:r w:rsidRPr="009A7429">
              <w:rPr>
                <w:vertAlign w:val="subscript"/>
              </w:rPr>
              <w:t>sat</w:t>
            </w:r>
            <w:proofErr w:type="spellEnd"/>
          </w:p>
          <w:p w14:paraId="6E64F240" w14:textId="77777777" w:rsidR="009A7429" w:rsidRDefault="009A7429" w:rsidP="009A7429">
            <w:pPr>
              <w:pStyle w:val="NoSpacing"/>
            </w:pPr>
            <w:proofErr w:type="spellStart"/>
            <w:r>
              <w:t>reNDVI</w:t>
            </w:r>
            <w:proofErr w:type="spellEnd"/>
          </w:p>
          <w:p w14:paraId="62EC570F" w14:textId="31AE62E2" w:rsidR="00E32E7A" w:rsidRDefault="009A7429" w:rsidP="009A7429">
            <w:pPr>
              <w:pStyle w:val="NoSpacing"/>
              <w:rPr>
                <w:vertAlign w:val="subscript"/>
              </w:rPr>
            </w:pPr>
            <w:r>
              <w:t>replicate</w:t>
            </w:r>
          </w:p>
        </w:tc>
        <w:tc>
          <w:tcPr>
            <w:tcW w:w="1381" w:type="dxa"/>
            <w:tcBorders>
              <w:top w:val="single" w:sz="8" w:space="0" w:color="000000"/>
              <w:left w:val="nil"/>
              <w:bottom w:val="single" w:sz="8" w:space="0" w:color="000000"/>
              <w:right w:val="nil"/>
            </w:tcBorders>
            <w:tcMar>
              <w:top w:w="80" w:type="dxa"/>
              <w:left w:w="140" w:type="dxa"/>
              <w:bottom w:w="80" w:type="dxa"/>
              <w:right w:w="140" w:type="dxa"/>
            </w:tcMar>
          </w:tcPr>
          <w:p w14:paraId="1FD4BC75" w14:textId="4468FE23" w:rsidR="00E32E7A" w:rsidRDefault="001A3423" w:rsidP="009A7429">
            <w:pPr>
              <w:pStyle w:val="NoSpacing"/>
            </w:pPr>
            <w:r>
              <w:t>0.250</w:t>
            </w:r>
          </w:p>
        </w:tc>
        <w:tc>
          <w:tcPr>
            <w:tcW w:w="1577" w:type="dxa"/>
            <w:tcBorders>
              <w:top w:val="single" w:sz="8" w:space="0" w:color="000000"/>
              <w:left w:val="nil"/>
              <w:bottom w:val="single" w:sz="8" w:space="0" w:color="000000"/>
              <w:right w:val="nil"/>
            </w:tcBorders>
            <w:tcMar>
              <w:top w:w="80" w:type="dxa"/>
              <w:left w:w="140" w:type="dxa"/>
              <w:bottom w:w="80" w:type="dxa"/>
              <w:right w:w="140" w:type="dxa"/>
            </w:tcMar>
          </w:tcPr>
          <w:p w14:paraId="3F4E9E75" w14:textId="0F5268E0" w:rsidR="00E32E7A" w:rsidRDefault="001A3423" w:rsidP="009A7429">
            <w:pPr>
              <w:pStyle w:val="NoSpacing"/>
            </w:pPr>
            <w:r>
              <w:t>7.34</w:t>
            </w:r>
          </w:p>
        </w:tc>
        <w:tc>
          <w:tcPr>
            <w:tcW w:w="1404" w:type="dxa"/>
            <w:tcBorders>
              <w:top w:val="single" w:sz="8" w:space="0" w:color="000000"/>
              <w:left w:val="nil"/>
              <w:bottom w:val="single" w:sz="8" w:space="0" w:color="000000"/>
              <w:right w:val="nil"/>
            </w:tcBorders>
            <w:tcMar>
              <w:top w:w="80" w:type="dxa"/>
              <w:left w:w="140" w:type="dxa"/>
              <w:bottom w:w="80" w:type="dxa"/>
              <w:right w:w="140" w:type="dxa"/>
            </w:tcMar>
          </w:tcPr>
          <w:p w14:paraId="4621D30F" w14:textId="04EF7230" w:rsidR="00E32E7A" w:rsidRDefault="001A3423" w:rsidP="009A7429">
            <w:pPr>
              <w:pStyle w:val="NoSpacing"/>
            </w:pPr>
            <w:r>
              <w:t>&lt; 0.001</w:t>
            </w:r>
          </w:p>
        </w:tc>
        <w:tc>
          <w:tcPr>
            <w:tcW w:w="1174" w:type="dxa"/>
            <w:tcBorders>
              <w:top w:val="single" w:sz="8" w:space="0" w:color="000000"/>
              <w:left w:val="nil"/>
              <w:bottom w:val="single" w:sz="8" w:space="0" w:color="000000"/>
              <w:right w:val="nil"/>
            </w:tcBorders>
            <w:tcMar>
              <w:top w:w="80" w:type="dxa"/>
              <w:left w:w="140" w:type="dxa"/>
              <w:bottom w:w="80" w:type="dxa"/>
              <w:right w:w="140" w:type="dxa"/>
            </w:tcMar>
          </w:tcPr>
          <w:p w14:paraId="1AAAB726" w14:textId="74F704BF" w:rsidR="00E32E7A" w:rsidRDefault="009A7429" w:rsidP="009A7429">
            <w:pPr>
              <w:pStyle w:val="NoSpacing"/>
            </w:pPr>
            <w:r>
              <w:t>29.61</w:t>
            </w:r>
          </w:p>
        </w:tc>
        <w:tc>
          <w:tcPr>
            <w:tcW w:w="1335" w:type="dxa"/>
            <w:tcBorders>
              <w:top w:val="single" w:sz="8" w:space="0" w:color="000000"/>
              <w:left w:val="nil"/>
              <w:bottom w:val="single" w:sz="8" w:space="0" w:color="000000"/>
              <w:right w:val="nil"/>
            </w:tcBorders>
            <w:tcMar>
              <w:top w:w="80" w:type="dxa"/>
              <w:left w:w="140" w:type="dxa"/>
              <w:bottom w:w="80" w:type="dxa"/>
              <w:right w:w="140" w:type="dxa"/>
            </w:tcMar>
          </w:tcPr>
          <w:p w14:paraId="2240F856" w14:textId="7EB249F6" w:rsidR="00E32E7A" w:rsidRDefault="001A3423" w:rsidP="009A7429">
            <w:pPr>
              <w:pStyle w:val="NoSpacing"/>
            </w:pPr>
            <w:r>
              <w:t>305.32</w:t>
            </w:r>
          </w:p>
        </w:tc>
      </w:tr>
      <w:tr w:rsidR="009A7429" w14:paraId="264DC858" w14:textId="77777777" w:rsidTr="00883294">
        <w:trPr>
          <w:trHeight w:val="645"/>
        </w:trPr>
        <w:tc>
          <w:tcPr>
            <w:tcW w:w="2486" w:type="dxa"/>
            <w:tcBorders>
              <w:top w:val="single" w:sz="8" w:space="0" w:color="000000"/>
              <w:left w:val="nil"/>
              <w:bottom w:val="nil"/>
              <w:right w:val="nil"/>
            </w:tcBorders>
            <w:tcMar>
              <w:top w:w="80" w:type="dxa"/>
              <w:left w:w="140" w:type="dxa"/>
              <w:bottom w:w="80" w:type="dxa"/>
              <w:right w:w="140" w:type="dxa"/>
            </w:tcMar>
          </w:tcPr>
          <w:p w14:paraId="58C3679B" w14:textId="77777777" w:rsidR="009A7429" w:rsidRDefault="009A7429" w:rsidP="009A7429">
            <w:pPr>
              <w:pStyle w:val="NoSpacing"/>
            </w:pPr>
            <w:proofErr w:type="spellStart"/>
            <w:r>
              <w:t>reNDVI</w:t>
            </w:r>
            <w:proofErr w:type="spellEnd"/>
          </w:p>
          <w:p w14:paraId="2AC08A57" w14:textId="5B6A77CE" w:rsidR="009A7429" w:rsidRDefault="009A7429" w:rsidP="009A7429">
            <w:pPr>
              <w:pStyle w:val="NoSpacing"/>
            </w:pPr>
            <w:r>
              <w:t>replicate</w:t>
            </w:r>
          </w:p>
        </w:tc>
        <w:tc>
          <w:tcPr>
            <w:tcW w:w="1381" w:type="dxa"/>
            <w:tcBorders>
              <w:top w:val="single" w:sz="8" w:space="0" w:color="000000"/>
              <w:left w:val="nil"/>
              <w:bottom w:val="nil"/>
              <w:right w:val="nil"/>
            </w:tcBorders>
            <w:tcMar>
              <w:top w:w="80" w:type="dxa"/>
              <w:left w:w="140" w:type="dxa"/>
              <w:bottom w:w="80" w:type="dxa"/>
              <w:right w:w="140" w:type="dxa"/>
            </w:tcMar>
          </w:tcPr>
          <w:p w14:paraId="3787E2FA" w14:textId="18CC69C4" w:rsidR="009A7429" w:rsidRDefault="00033DA2" w:rsidP="009A7429">
            <w:pPr>
              <w:pStyle w:val="NoSpacing"/>
            </w:pPr>
            <w:r>
              <w:t>0.25</w:t>
            </w:r>
            <w:r w:rsidR="001A3423">
              <w:t>4</w:t>
            </w:r>
          </w:p>
        </w:tc>
        <w:tc>
          <w:tcPr>
            <w:tcW w:w="1577" w:type="dxa"/>
            <w:tcBorders>
              <w:top w:val="single" w:sz="8" w:space="0" w:color="000000"/>
              <w:left w:val="nil"/>
              <w:bottom w:val="nil"/>
              <w:right w:val="nil"/>
            </w:tcBorders>
            <w:tcMar>
              <w:top w:w="80" w:type="dxa"/>
              <w:left w:w="140" w:type="dxa"/>
              <w:bottom w:w="80" w:type="dxa"/>
              <w:right w:w="140" w:type="dxa"/>
            </w:tcMar>
          </w:tcPr>
          <w:p w14:paraId="731B7393" w14:textId="3B90AD33" w:rsidR="009A7429" w:rsidRDefault="00033DA2" w:rsidP="009A7429">
            <w:pPr>
              <w:pStyle w:val="NoSpacing"/>
            </w:pPr>
            <w:r>
              <w:t>9.09</w:t>
            </w:r>
          </w:p>
        </w:tc>
        <w:tc>
          <w:tcPr>
            <w:tcW w:w="1404" w:type="dxa"/>
            <w:tcBorders>
              <w:top w:val="single" w:sz="8" w:space="0" w:color="000000"/>
              <w:left w:val="nil"/>
              <w:bottom w:val="nil"/>
              <w:right w:val="nil"/>
            </w:tcBorders>
            <w:tcMar>
              <w:top w:w="80" w:type="dxa"/>
              <w:left w:w="140" w:type="dxa"/>
              <w:bottom w:w="80" w:type="dxa"/>
              <w:right w:w="140" w:type="dxa"/>
            </w:tcMar>
          </w:tcPr>
          <w:p w14:paraId="7F2DB7AC" w14:textId="6A07A748" w:rsidR="009A7429" w:rsidRDefault="009A7429" w:rsidP="009A7429">
            <w:pPr>
              <w:pStyle w:val="NoSpacing"/>
            </w:pPr>
            <w:r>
              <w:t xml:space="preserve"> &lt; 0.001</w:t>
            </w:r>
          </w:p>
        </w:tc>
        <w:tc>
          <w:tcPr>
            <w:tcW w:w="1174" w:type="dxa"/>
            <w:tcBorders>
              <w:top w:val="single" w:sz="8" w:space="0" w:color="000000"/>
              <w:left w:val="nil"/>
              <w:bottom w:val="nil"/>
              <w:right w:val="nil"/>
            </w:tcBorders>
            <w:tcMar>
              <w:top w:w="80" w:type="dxa"/>
              <w:left w:w="140" w:type="dxa"/>
              <w:bottom w:w="80" w:type="dxa"/>
              <w:right w:w="140" w:type="dxa"/>
            </w:tcMar>
          </w:tcPr>
          <w:p w14:paraId="17EC49A2" w14:textId="7653CB8B" w:rsidR="009A7429" w:rsidRDefault="009A7429" w:rsidP="009A7429">
            <w:pPr>
              <w:pStyle w:val="NoSpacing"/>
            </w:pPr>
            <w:r>
              <w:t>28.18</w:t>
            </w:r>
          </w:p>
        </w:tc>
        <w:tc>
          <w:tcPr>
            <w:tcW w:w="1335" w:type="dxa"/>
            <w:tcBorders>
              <w:top w:val="single" w:sz="8" w:space="0" w:color="000000"/>
              <w:left w:val="nil"/>
              <w:bottom w:val="nil"/>
              <w:right w:val="nil"/>
            </w:tcBorders>
            <w:tcMar>
              <w:top w:w="80" w:type="dxa"/>
              <w:left w:w="140" w:type="dxa"/>
              <w:bottom w:w="80" w:type="dxa"/>
              <w:right w:w="140" w:type="dxa"/>
            </w:tcMar>
          </w:tcPr>
          <w:p w14:paraId="5ED180F9" w14:textId="3249B3A9" w:rsidR="009A7429" w:rsidRDefault="00033DA2" w:rsidP="009A7429">
            <w:pPr>
              <w:pStyle w:val="NoSpacing"/>
            </w:pPr>
            <w:r>
              <w:t>303.56</w:t>
            </w:r>
          </w:p>
        </w:tc>
      </w:tr>
    </w:tbl>
    <w:p w14:paraId="245C944F" w14:textId="77777777" w:rsidR="00E32E7A" w:rsidRDefault="00E32E7A" w:rsidP="009A7429">
      <w:pPr>
        <w:pStyle w:val="NoSpacing"/>
      </w:pPr>
      <w:r>
        <w:br w:type="page"/>
      </w:r>
    </w:p>
    <w:p w14:paraId="10995319" w14:textId="77777777" w:rsidR="00E32E7A" w:rsidRPr="00420FB9" w:rsidRDefault="00E32E7A" w:rsidP="00420FB9">
      <w:pPr>
        <w:spacing w:line="480" w:lineRule="auto"/>
        <w:rPr>
          <w:rFonts w:ascii="Times New Roman" w:hAnsi="Times New Roman" w:cs="Times New Roman"/>
          <w:sz w:val="24"/>
          <w:szCs w:val="24"/>
        </w:rPr>
      </w:pPr>
    </w:p>
    <w:sectPr w:rsidR="00E32E7A" w:rsidRPr="00420FB9" w:rsidSect="00420FB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FB9"/>
    <w:rsid w:val="000025F6"/>
    <w:rsid w:val="000272EC"/>
    <w:rsid w:val="00030A41"/>
    <w:rsid w:val="00033DA2"/>
    <w:rsid w:val="00046A87"/>
    <w:rsid w:val="0004748D"/>
    <w:rsid w:val="000734E5"/>
    <w:rsid w:val="0007419A"/>
    <w:rsid w:val="000861FC"/>
    <w:rsid w:val="00090A01"/>
    <w:rsid w:val="000A1B45"/>
    <w:rsid w:val="000A276D"/>
    <w:rsid w:val="000A6CFD"/>
    <w:rsid w:val="000B1457"/>
    <w:rsid w:val="000F17FE"/>
    <w:rsid w:val="000F4CCE"/>
    <w:rsid w:val="00137957"/>
    <w:rsid w:val="0014254D"/>
    <w:rsid w:val="00154910"/>
    <w:rsid w:val="001559A4"/>
    <w:rsid w:val="0016278E"/>
    <w:rsid w:val="00175621"/>
    <w:rsid w:val="0017789E"/>
    <w:rsid w:val="001848D6"/>
    <w:rsid w:val="00191458"/>
    <w:rsid w:val="001A3423"/>
    <w:rsid w:val="001D7F9E"/>
    <w:rsid w:val="001F4F80"/>
    <w:rsid w:val="002015C8"/>
    <w:rsid w:val="00206BC6"/>
    <w:rsid w:val="00236F48"/>
    <w:rsid w:val="00252D12"/>
    <w:rsid w:val="002555F6"/>
    <w:rsid w:val="00256875"/>
    <w:rsid w:val="00262AB4"/>
    <w:rsid w:val="00263AC0"/>
    <w:rsid w:val="00272E03"/>
    <w:rsid w:val="002A636C"/>
    <w:rsid w:val="002B2737"/>
    <w:rsid w:val="002B2AB3"/>
    <w:rsid w:val="002B4CB8"/>
    <w:rsid w:val="002B7A3B"/>
    <w:rsid w:val="002C1FED"/>
    <w:rsid w:val="002E2072"/>
    <w:rsid w:val="00305B4F"/>
    <w:rsid w:val="0031069D"/>
    <w:rsid w:val="00336667"/>
    <w:rsid w:val="00346B57"/>
    <w:rsid w:val="00356472"/>
    <w:rsid w:val="00362363"/>
    <w:rsid w:val="00364F2B"/>
    <w:rsid w:val="003664BB"/>
    <w:rsid w:val="00373FD3"/>
    <w:rsid w:val="00385858"/>
    <w:rsid w:val="00385AD4"/>
    <w:rsid w:val="003923F8"/>
    <w:rsid w:val="003B3803"/>
    <w:rsid w:val="003B3B59"/>
    <w:rsid w:val="003C08B0"/>
    <w:rsid w:val="003C349E"/>
    <w:rsid w:val="003C7672"/>
    <w:rsid w:val="003D0D21"/>
    <w:rsid w:val="003E537F"/>
    <w:rsid w:val="003E7BBC"/>
    <w:rsid w:val="003F6CF0"/>
    <w:rsid w:val="00403D9A"/>
    <w:rsid w:val="00403DD0"/>
    <w:rsid w:val="004043EB"/>
    <w:rsid w:val="004117FF"/>
    <w:rsid w:val="00414F13"/>
    <w:rsid w:val="00420FB9"/>
    <w:rsid w:val="0042121F"/>
    <w:rsid w:val="0042659D"/>
    <w:rsid w:val="0044017C"/>
    <w:rsid w:val="00440AD0"/>
    <w:rsid w:val="00444CBE"/>
    <w:rsid w:val="004548B0"/>
    <w:rsid w:val="00456069"/>
    <w:rsid w:val="004869AD"/>
    <w:rsid w:val="004942C8"/>
    <w:rsid w:val="0049492D"/>
    <w:rsid w:val="004D0E28"/>
    <w:rsid w:val="005425C6"/>
    <w:rsid w:val="0054634C"/>
    <w:rsid w:val="0055308F"/>
    <w:rsid w:val="00567E3C"/>
    <w:rsid w:val="0058034D"/>
    <w:rsid w:val="00583DCE"/>
    <w:rsid w:val="00594DD3"/>
    <w:rsid w:val="005B539E"/>
    <w:rsid w:val="005C3A2E"/>
    <w:rsid w:val="005D1081"/>
    <w:rsid w:val="005E469A"/>
    <w:rsid w:val="00606F08"/>
    <w:rsid w:val="0062221A"/>
    <w:rsid w:val="0064443A"/>
    <w:rsid w:val="006476D2"/>
    <w:rsid w:val="0069326E"/>
    <w:rsid w:val="006A0C69"/>
    <w:rsid w:val="006A471C"/>
    <w:rsid w:val="006B1CA2"/>
    <w:rsid w:val="006C3264"/>
    <w:rsid w:val="006F1FF8"/>
    <w:rsid w:val="0071317F"/>
    <w:rsid w:val="00720931"/>
    <w:rsid w:val="00730495"/>
    <w:rsid w:val="007344CC"/>
    <w:rsid w:val="0076379E"/>
    <w:rsid w:val="007655F9"/>
    <w:rsid w:val="00765F0B"/>
    <w:rsid w:val="00766AB7"/>
    <w:rsid w:val="0078519D"/>
    <w:rsid w:val="007963FF"/>
    <w:rsid w:val="007B72C0"/>
    <w:rsid w:val="007D0E18"/>
    <w:rsid w:val="007E0E86"/>
    <w:rsid w:val="007E49DE"/>
    <w:rsid w:val="007F052E"/>
    <w:rsid w:val="008439A0"/>
    <w:rsid w:val="00845724"/>
    <w:rsid w:val="00866A5F"/>
    <w:rsid w:val="00867427"/>
    <w:rsid w:val="00885234"/>
    <w:rsid w:val="00885A00"/>
    <w:rsid w:val="00887103"/>
    <w:rsid w:val="00893AD2"/>
    <w:rsid w:val="008A617D"/>
    <w:rsid w:val="008C0D02"/>
    <w:rsid w:val="008C321C"/>
    <w:rsid w:val="008D431D"/>
    <w:rsid w:val="008E344E"/>
    <w:rsid w:val="008E357C"/>
    <w:rsid w:val="008F5863"/>
    <w:rsid w:val="00905708"/>
    <w:rsid w:val="0090613A"/>
    <w:rsid w:val="00906CEF"/>
    <w:rsid w:val="0092343D"/>
    <w:rsid w:val="0093311B"/>
    <w:rsid w:val="0094562A"/>
    <w:rsid w:val="00980FE4"/>
    <w:rsid w:val="009A5073"/>
    <w:rsid w:val="009A710E"/>
    <w:rsid w:val="009A7429"/>
    <w:rsid w:val="009B2F17"/>
    <w:rsid w:val="009D3907"/>
    <w:rsid w:val="009D48F6"/>
    <w:rsid w:val="009D6B22"/>
    <w:rsid w:val="009E5EFD"/>
    <w:rsid w:val="009E7092"/>
    <w:rsid w:val="00A01540"/>
    <w:rsid w:val="00A0361A"/>
    <w:rsid w:val="00A03ECD"/>
    <w:rsid w:val="00A3263F"/>
    <w:rsid w:val="00A43F1E"/>
    <w:rsid w:val="00A45B4C"/>
    <w:rsid w:val="00A52F2C"/>
    <w:rsid w:val="00A56EB3"/>
    <w:rsid w:val="00A733D4"/>
    <w:rsid w:val="00A75DE6"/>
    <w:rsid w:val="00A846C2"/>
    <w:rsid w:val="00A87F0D"/>
    <w:rsid w:val="00A95539"/>
    <w:rsid w:val="00AB49FA"/>
    <w:rsid w:val="00AB5D3E"/>
    <w:rsid w:val="00AD46A9"/>
    <w:rsid w:val="00AF3434"/>
    <w:rsid w:val="00B07105"/>
    <w:rsid w:val="00B1267A"/>
    <w:rsid w:val="00B13458"/>
    <w:rsid w:val="00B17EC8"/>
    <w:rsid w:val="00B24EFC"/>
    <w:rsid w:val="00B25454"/>
    <w:rsid w:val="00B2573E"/>
    <w:rsid w:val="00B26667"/>
    <w:rsid w:val="00B47968"/>
    <w:rsid w:val="00B81272"/>
    <w:rsid w:val="00B827CD"/>
    <w:rsid w:val="00BC049E"/>
    <w:rsid w:val="00BC579B"/>
    <w:rsid w:val="00BD0EB0"/>
    <w:rsid w:val="00BD4BAF"/>
    <w:rsid w:val="00BE349D"/>
    <w:rsid w:val="00BE7D49"/>
    <w:rsid w:val="00BF2093"/>
    <w:rsid w:val="00C11B98"/>
    <w:rsid w:val="00C2098D"/>
    <w:rsid w:val="00C24B29"/>
    <w:rsid w:val="00C343B7"/>
    <w:rsid w:val="00C3543C"/>
    <w:rsid w:val="00C41234"/>
    <w:rsid w:val="00C43EA9"/>
    <w:rsid w:val="00C46A8C"/>
    <w:rsid w:val="00C5103A"/>
    <w:rsid w:val="00C70305"/>
    <w:rsid w:val="00C70426"/>
    <w:rsid w:val="00C85448"/>
    <w:rsid w:val="00C97A70"/>
    <w:rsid w:val="00CA7CA4"/>
    <w:rsid w:val="00CB37EC"/>
    <w:rsid w:val="00CB4BD3"/>
    <w:rsid w:val="00CC3DD3"/>
    <w:rsid w:val="00CF5004"/>
    <w:rsid w:val="00D023FA"/>
    <w:rsid w:val="00D02C52"/>
    <w:rsid w:val="00D14276"/>
    <w:rsid w:val="00D142AD"/>
    <w:rsid w:val="00D22361"/>
    <w:rsid w:val="00D35869"/>
    <w:rsid w:val="00D442F3"/>
    <w:rsid w:val="00D73E9A"/>
    <w:rsid w:val="00DA5FBB"/>
    <w:rsid w:val="00DA69EB"/>
    <w:rsid w:val="00DA7162"/>
    <w:rsid w:val="00DC0714"/>
    <w:rsid w:val="00DC13D5"/>
    <w:rsid w:val="00DD6A76"/>
    <w:rsid w:val="00DE0B29"/>
    <w:rsid w:val="00DE4076"/>
    <w:rsid w:val="00DE5656"/>
    <w:rsid w:val="00DE5D4B"/>
    <w:rsid w:val="00E11120"/>
    <w:rsid w:val="00E24D7D"/>
    <w:rsid w:val="00E32E7A"/>
    <w:rsid w:val="00E3402F"/>
    <w:rsid w:val="00E45169"/>
    <w:rsid w:val="00E5026E"/>
    <w:rsid w:val="00E7001D"/>
    <w:rsid w:val="00E71C5E"/>
    <w:rsid w:val="00E763BF"/>
    <w:rsid w:val="00E76505"/>
    <w:rsid w:val="00E8441E"/>
    <w:rsid w:val="00EA438A"/>
    <w:rsid w:val="00EB6D15"/>
    <w:rsid w:val="00ED7708"/>
    <w:rsid w:val="00EE49A5"/>
    <w:rsid w:val="00EE791C"/>
    <w:rsid w:val="00EF6A34"/>
    <w:rsid w:val="00EF71B0"/>
    <w:rsid w:val="00F0228E"/>
    <w:rsid w:val="00F04A8D"/>
    <w:rsid w:val="00F17BF0"/>
    <w:rsid w:val="00F266A3"/>
    <w:rsid w:val="00F27225"/>
    <w:rsid w:val="00F332EC"/>
    <w:rsid w:val="00F449BF"/>
    <w:rsid w:val="00F472F2"/>
    <w:rsid w:val="00F6421F"/>
    <w:rsid w:val="00F66B0A"/>
    <w:rsid w:val="00F67E1C"/>
    <w:rsid w:val="00F95E4B"/>
    <w:rsid w:val="00FA7A0B"/>
    <w:rsid w:val="00FB081B"/>
    <w:rsid w:val="00FB732F"/>
    <w:rsid w:val="00FB7E91"/>
    <w:rsid w:val="00FD448B"/>
    <w:rsid w:val="00FE1974"/>
    <w:rsid w:val="00FF0E0D"/>
    <w:rsid w:val="00FF7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3C1B7"/>
  <w15:chartTrackingRefBased/>
  <w15:docId w15:val="{790E7DEB-89EF-4696-8A1F-45697F95D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420FB9"/>
  </w:style>
  <w:style w:type="character" w:styleId="PlaceholderText">
    <w:name w:val="Placeholder Text"/>
    <w:basedOn w:val="DefaultParagraphFont"/>
    <w:uiPriority w:val="99"/>
    <w:semiHidden/>
    <w:rsid w:val="00305B4F"/>
    <w:rPr>
      <w:color w:val="808080"/>
    </w:rPr>
  </w:style>
  <w:style w:type="character" w:styleId="CommentReference">
    <w:name w:val="annotation reference"/>
    <w:basedOn w:val="DefaultParagraphFont"/>
    <w:uiPriority w:val="99"/>
    <w:semiHidden/>
    <w:unhideWhenUsed/>
    <w:rsid w:val="0055308F"/>
    <w:rPr>
      <w:sz w:val="16"/>
      <w:szCs w:val="16"/>
    </w:rPr>
  </w:style>
  <w:style w:type="paragraph" w:styleId="CommentText">
    <w:name w:val="annotation text"/>
    <w:basedOn w:val="Normal"/>
    <w:link w:val="CommentTextChar"/>
    <w:uiPriority w:val="99"/>
    <w:semiHidden/>
    <w:unhideWhenUsed/>
    <w:rsid w:val="0055308F"/>
    <w:pPr>
      <w:spacing w:line="240" w:lineRule="auto"/>
    </w:pPr>
    <w:rPr>
      <w:sz w:val="20"/>
      <w:szCs w:val="20"/>
    </w:rPr>
  </w:style>
  <w:style w:type="character" w:customStyle="1" w:styleId="CommentTextChar">
    <w:name w:val="Comment Text Char"/>
    <w:basedOn w:val="DefaultParagraphFont"/>
    <w:link w:val="CommentText"/>
    <w:uiPriority w:val="99"/>
    <w:semiHidden/>
    <w:rsid w:val="0055308F"/>
    <w:rPr>
      <w:sz w:val="20"/>
      <w:szCs w:val="20"/>
    </w:rPr>
  </w:style>
  <w:style w:type="paragraph" w:styleId="CommentSubject">
    <w:name w:val="annotation subject"/>
    <w:basedOn w:val="CommentText"/>
    <w:next w:val="CommentText"/>
    <w:link w:val="CommentSubjectChar"/>
    <w:uiPriority w:val="99"/>
    <w:semiHidden/>
    <w:unhideWhenUsed/>
    <w:rsid w:val="0055308F"/>
    <w:rPr>
      <w:b/>
      <w:bCs/>
    </w:rPr>
  </w:style>
  <w:style w:type="character" w:customStyle="1" w:styleId="CommentSubjectChar">
    <w:name w:val="Comment Subject Char"/>
    <w:basedOn w:val="CommentTextChar"/>
    <w:link w:val="CommentSubject"/>
    <w:uiPriority w:val="99"/>
    <w:semiHidden/>
    <w:rsid w:val="0055308F"/>
    <w:rPr>
      <w:b/>
      <w:bCs/>
      <w:sz w:val="20"/>
      <w:szCs w:val="20"/>
    </w:rPr>
  </w:style>
  <w:style w:type="paragraph" w:styleId="ListParagraph">
    <w:name w:val="List Paragraph"/>
    <w:basedOn w:val="Normal"/>
    <w:uiPriority w:val="34"/>
    <w:qFormat/>
    <w:rsid w:val="004117FF"/>
    <w:pPr>
      <w:ind w:left="720"/>
      <w:contextualSpacing/>
    </w:pPr>
  </w:style>
  <w:style w:type="paragraph" w:styleId="NoSpacing">
    <w:name w:val="No Spacing"/>
    <w:uiPriority w:val="1"/>
    <w:qFormat/>
    <w:rsid w:val="009A74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B5ED4E3-E7EE-4E50-AF84-5648222D6FEB}"/>
      </w:docPartPr>
      <w:docPartBody>
        <w:p w:rsidR="00781E00" w:rsidRDefault="0001388E">
          <w:r w:rsidRPr="0028336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88E"/>
    <w:rsid w:val="0001388E"/>
    <w:rsid w:val="00074930"/>
    <w:rsid w:val="000A63F7"/>
    <w:rsid w:val="0012703C"/>
    <w:rsid w:val="001A2714"/>
    <w:rsid w:val="002A389E"/>
    <w:rsid w:val="004235F9"/>
    <w:rsid w:val="00481351"/>
    <w:rsid w:val="004C1B39"/>
    <w:rsid w:val="0064055B"/>
    <w:rsid w:val="00781E00"/>
    <w:rsid w:val="007835AA"/>
    <w:rsid w:val="00831D30"/>
    <w:rsid w:val="008464B9"/>
    <w:rsid w:val="00855145"/>
    <w:rsid w:val="009A6AFC"/>
    <w:rsid w:val="00A82D00"/>
    <w:rsid w:val="00A86BA8"/>
    <w:rsid w:val="00B00741"/>
    <w:rsid w:val="00BC1091"/>
    <w:rsid w:val="00C27BDC"/>
    <w:rsid w:val="00CE6804"/>
    <w:rsid w:val="00F31F89"/>
    <w:rsid w:val="00F46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8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00BC04-5A76-49CF-A63B-FAC1F4A22028}">
  <we:reference id="wa104382081" version="1.16.0.0" store="en-001" storeType="OMEX"/>
  <we:alternateReferences>
    <we:reference id="WA104382081" version="1.16.0.0" store="" storeType="OMEX"/>
  </we:alternateReferences>
  <we:properties>
    <we:property name="MENDELEY_CITATIONS" value="[{&quot;citationID&quot;:&quot;MENDELEY_CITATION_322377eb-5286-49c4-9051-cd42ac58d1e5&quot;,&quot;properties&quot;:{&quot;noteIndex&quot;:0},&quot;isEdited&quot;:false,&quot;manualOverride&quot;:{&quot;isManuallyOverridden&quot;:false,&quot;citeprocText&quot;:&quot;(Gough et al., 2013)&quot;,&quot;manualOverrideText&quot;:&quot;&quot;},&quot;citationTag&quot;:&quot;MENDELEY_CITATION_v3_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&quot;,&quot;citationItems&quot;:[{&quot;id&quot;:&quot;a3bf5336-f6fd-33ef-bc58-4339948f3068&quot;,&quot;itemData&quot;:{&quot;type&quot;:&quot;article-journal&quot;,&quot;id&quot;:&quot;a3bf5336-f6fd-33ef-bc58-4339948f3068&quot;,&quot;title&quot;:&quot;Sustained carbon uptake and storage following moderate disturbance in a Great Lakes forest&quot;,&quot;author&quot;:[{&quot;family&quot;:&quot;Gough&quot;,&quot;given&quot;:&quot;Christopher M.&quot;,&quot;parse-names&quot;:false,&quot;dropping-particle&quot;:&quot;&quot;,&quot;non-dropping-particle&quot;:&quot;&quot;},{&quot;family&quot;:&quot;Hardiman&quot;,&quot;given&quot;:&quot;Brady S.&quot;,&quot;parse-names&quot;:false,&quot;dropping-particle&quot;:&quot;&quot;,&quot;non-dropping-particle&quot;:&quot;&quot;},{&quot;family&quot;:&quot;Nave&quot;,&quot;given&quot;:&quot;Lucas E.&quot;,&quot;parse-names&quot;:false,&quot;dropping-particle&quot;:&quot;&quot;,&quot;non-dropping-particle&quot;:&quot;&quot;},{&quot;family&quot;:&quot;Bohrer&quot;,&quot;given&quot;:&quot;Gil&quot;,&quot;parse-names&quot;:false,&quot;dropping-particle&quot;:&quot;&quot;,&quot;non-dropping-particle&quot;:&quot;&quot;},{&quot;family&quot;:&quot;Maurer&quot;,&quot;given&quot;:&quot;Kyle D.&quot;,&quot;parse-names&quot;:false,&quot;dropping-particle&quot;:&quot;&quot;,&quot;non-dropping-particle&quot;:&quot;&quot;},{&quot;family&quot;:&quot;Vogel&quot;,&quot;given&quot;:&quot;Christoph S.&quot;,&quot;parse-names&quot;:false,&quot;dropping-particle&quot;:&quot;&quot;,&quot;non-dropping-particle&quot;:&quot;&quot;},{&quot;family&quot;:&quot;Nadelhoffer&quot;,&quot;given&quot;:&quot;Knute J.&quot;,&quot;parse-names&quot;:false,&quot;dropping-particle&quot;:&quot;&quot;,&quot;non-dropping-particle&quot;:&quot;&quot;},{&quot;family&quot;:&quot;Curtis&quot;,&quot;given&quot;:&quot;Peter S.&quot;,&quot;parse-names&quot;:false,&quot;dropping-particle&quot;:&quot;&quot;,&quot;non-dropping-particle&quot;:&quot;&quot;}],&quot;container-title&quot;:&quot;Ecological Applications&quot;,&quot;DOI&quot;:&quot;10.1890/12-1554.1&quot;,&quot;ISBN&quot;:&quot;8048278596&quot;,&quot;ISSN&quot;:&quot;10510761&quot;,&quot;PMID&quot;:&quot;23967586&quot;,&quot;issued&quot;:{&quot;date-parts&quot;:[[2013]]},&quot;abstract&quot;:&quot;Carbon (C) uptake rates in many forests are sustained, or decline only briefly, following disturbances that partially defoliate the canopy. The mechanisms supporting such functional resistance to moderate forest disturbance are largely unknown. We used a large scale experiment, in which &gt;6700 Populus (aspen) and Betula (birch) trees were stem-girdled within a 39-ha area, to identify mechanisms sustaining C uptake through partial canopy defoliation. The Forest Accelerated Succession Experiment in northern Michigan, USA, employs a suite of C-cycling measurements within paired treatment and control meteorolog ical flux tower footprints. We found that enhancement of canopy light-use efficiency and maintenance of light absorption maintained net ecosystem production (NEP) and aboveground wood net primary production (NPP) when leaf-area index (LAI) of the treatment forest temporarily declined by nearly half its maximum value. In the year following peak defoliation, redistribution of nitrogen (N) in the treatment forest from senescent early successional aspen and birch to non-girdled later successional species facilitated the recovery of total LAI to pre-disturbance levels. Sustained canopy physiological competency following disturbance coincided with a downward shift in maximum canopy height, indicating that compensatory photosynthetic C uptake by undisturbed, later successional subdominant and subcanopy vegetation supported C-uptake resistance to disturbance. These findings have implications for ecosystem management and modeling, demonstrating that forests may tolerate considerable leaf-area losses without diminishing rates of C uptake. We conclude that the resistance of C uptake to moderate disturbance depends not only on replacement of lost leaf area, but also on rapid compensatory photosynthetic C uptake during defoliation by emerging later successional species.&quot;,&quot;expandedJournalTitle&quot;:&quot;Ecological Applications&quot;},&quot;isTemporary&quot;:false}]},{&quot;citationID&quot;:&quot;MENDELEY_CITATION_c1bb25c0-3882-4947-96f3-08e0c9a2a0ed&quot;,&quot;properties&quot;:{&quot;noteIndex&quot;:0},&quot;isEdited&quot;:false,&quot;manualOverride&quot;:{&quot;isManuallyOverridden&quot;:false,&quot;citeprocText&quot;:&quot;(Hardiman et al., 2011)&quot;,&quot;manualOverrideText&quot;:&quot;&quot;},&quot;citationItems&quot;:[{&quot;id&quot;:&quot;53de06b1-72b2-3a49-9d3b-9647862ed045&quot;,&quot;itemData&quot;:{&quot;type&quot;:&quot;article-journal&quot;,&quot;id&quot;:&quot;53de06b1-72b2-3a49-9d3b-9647862ed045&quot;,&quot;title&quot;:&quot;The role of canopy structural complexity in wood net primary production of a maturing northern deciduous forest&quot;,&quot;author&quot;:[{&quot;family&quot;:&quot;Hardiman&quot;,&quot;given&quot;:&quot;Brady S&quot;,&quot;parse-names&quot;:false,&quot;dropping-particle&quot;:&quot;&quot;,&quot;non-dropping-particle&quot;:&quot;&quot;},{&quot;family&quot;:&quot;Bohrer&quot;,&quot;given&quot;:&quot;Gil&quot;,&quot;parse-names&quot;:false,&quot;dropping-particle&quot;:&quot;&quot;,&quot;non-dropping-particle&quot;:&quot;&quot;},{&quot;family&quot;:&quot;Gough&quot;,&quot;given&quot;:&quot;Christopher M&quot;,&quot;parse-names&quot;:false,&quot;dropping-particle&quot;:&quot;&quot;,&quot;non-dropping-particle&quot;:&quot;&quot;},{&quot;family&quot;:&quot;Vogel&quot;,&quot;given&quot;:&quot;Christoph S&quot;,&quot;parse-names&quot;:false,&quot;dropping-particle&quot;:&quot;&quot;,&quot;non-dropping-particle&quot;:&quot;&quot;},{&quot;family&quot;:&quot;Curtis&quot;,&quot;given&quot;:&quot;Peter S&quot;,&quot;parse-names&quot;:false,&quot;dropping-particle&quot;:&quot;&quot;,&quot;non-dropping-particle&quot;:&quot;&quot;}],&quot;container-title&quot;:&quot;Ecology&quot;,&quot;issued&quot;:{&quot;date-parts&quot;:[[2011]]},&quot;page&quot;:&quot;1818-1827&quot;,&quot;abstract&quot;:&quot;The even-aged northern hardwood forests of the Upper Great Lakes Region are undergoing an ecological transition during which structural and biotic complexity is increasing. Early-successional aspen (Populus spp.) and birch (Betula papyrifera) are senescing at an accelerating rate and are being replaced by middle-successional species including northern red oak (Quercus rubra), red maple (Acer rubrum), and white pine (Pinus strobus). Canopy structural complexity may increase due to forest age, canopy disturbances, and changing species diversity. More structurally complex canopies may enhance carbon (C) sequestration in old forests. We hypothesize that these biotic and structural alterations will result in increased structural complexity of the maturing canopy with implications for forest C uptake. At the University of Michigan Biological Station (UMBS), we combined a decade of observations of net primary productivity (NPP), leaf area index (LAI), site index, canopy tree-species diversity, and stand age with canopy structure measurements made with portable canopy lidar (PCL) in 30 forested plots. We then evaluated the relative impact of stand characteristics on productivity through succession using data collected over a nine-year period. We found that effects of canopy structural complexity on wood NPP (NPP W) were similar in magnitude to the effects of total leaf area and site quality. Furthermore, our results suggest that the effect of stand age on NPP W is mediated primarily through its effect on canopy structural complexity. Stand-level diversity of canopy-tree species was not significantly related to either canopy structure or NPP W . We conclude that increasing canopy structural complexity provides a mechanism for the potential maintenance of productivity in aging forests.&quot;,&quot;issue&quot;:&quot;9&quot;,&quot;volume&quot;:&quot;92&quot;,&quot;expandedJournalTitle&quot;:&quot;Ecology&quot;},&quot;isTemporary&quot;:false}],&quot;citationTag&quot;:&quot;MENDELEY_CITATION_v3_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&quot;},{&quot;citationID&quot;:&quot;MENDELEY_CITATION_516c6f64-4902-4152-8993-65ba279c57f7&quot;,&quot;properties&quot;:{&quot;noteIndex&quot;:0},&quot;isEdited&quot;:false,&quot;manualOverride&quot;:{&quot;isManuallyOverridden&quot;:false,&quot;citeprocText&quot;:&quot;(Atkins et al., 2018)&quot;,&quot;manualOverrideText&quot;:&quot;&quot;},&quot;citationItems&quot;:[{&quot;id&quot;:&quot;1de33b2b-3904-364d-847a-c64c6a950abd&quot;,&quot;itemData&quot;:{&quot;type&quot;:&quot;article-journal&quot;,&quot;id&quot;:&quot;1de33b2b-3904-364d-847a-c64c6a950abd&quot;,&quot;title&quot;:&quot;Quantifying vegetation and canopy structural complexity from terrestrial LiDAR data using the forestr r package&quot;,&quot;author&quot;:[{&quot;family&quot;:&quot;Atkins&quot;,&quot;given&quot;:&quot;Jeff W.&quot;,&quot;parse-names&quot;:false,&quot;dropping-particle&quot;:&quot;&quot;,&quot;non-dropping-particle&quot;:&quot;&quot;},{&quot;family&quot;:&quot;Bohrer&quot;,&quot;given&quot;:&quot;Gil&quot;,&quot;parse-names&quot;:false,&quot;dropping-particle&quot;:&quot;&quot;,&quot;non-dropping-particle&quot;:&quot;&quot;},{&quot;family&quot;:&quot;Fahey&quot;,&quot;given&quot;:&quot;Robert T.&quot;,&quot;parse-names&quot;:false,&quot;dropping-particle&quot;:&quot;&quot;,&quot;non-dropping-particle&quot;:&quot;&quot;},{&quot;family&quot;:&quot;Hardiman&quot;,&quot;given&quot;:&quot;Brady S.&quot;,&quot;parse-names&quot;:false,&quot;dropping-particle&quot;:&quot;&quot;,&quot;non-dropping-particle&quot;:&quot;&quot;},{&quot;family&quot;:&quot;Morin&quot;,&quot;given&quot;:&quot;Timothy H.&quot;,&quot;parse-names&quot;:false,&quot;dropping-particle&quot;:&quot;&quot;,&quot;non-dropping-particle&quot;:&quot;&quot;},{&quot;family&quot;:&quot;Stovall&quot;,&quot;given&quot;:&quot;Atticus E.L.&quot;,&quot;parse-names&quot;:false,&quot;dropping-particle&quot;:&quot;&quot;,&quot;non-dropping-particle&quot;:&quot;&quot;},{&quot;family&quot;:&quot;Zimmerman&quot;,&quot;given&quot;:&quot;Naupaka&quot;,&quot;parse-names&quot;:false,&quot;dropping-particle&quot;:&quot;&quot;,&quot;non-dropping-particle&quot;:&quot;&quot;},{&quot;family&quot;:&quot;Gough&quot;,&quot;given&quot;:&quot;Christopher M.&quot;,&quot;parse-names&quot;:false,&quot;dropping-particle&quot;:&quot;&quot;,&quot;non-dropping-particle&quot;:&quot;&quot;}],&quot;container-title&quot;:&quot;Methods in Ecology and Evolution&quot;,&quot;DOI&quot;:&quot;10.1111/2041-210X.13061&quot;,&quot;ISSN&quot;:&quot;2041210X&quot;,&quot;issued&quot;:{&quot;date-parts&quot;:[[2018,10,1]]},&quot;page&quot;:&quot;2057-2066&quot;,&quot;abstract&quot;:&quot;Terrestrial LiDAR (light detection and ranging) technologies have created new means of quantifying forest canopy structure, allowing not only the estimation of biomass, but also descriptions of the position and variability in canopy elements in space. Such measures provide novel structural information broadly useful to ecologists. There is a growing need for both a detailed taxonomy of forest canopy structural complexity (CSC) and open, transparent, and flexible tools to quantify complexity in ways that will advance foundational ecological knowledge of structure-function relationships. The CSC taxonomy we present groups structural descriptors into five categories: leaf area and density, canopy height, canopy arrangement, canopy openness, and canopy variability. This paper also introduces the r package forestr, the first open-source r package for the calculation of CSC metrics from terrestrial LiDAR data. The r package forestr is an analysis toolbox that works with portable canopy LiDAR (PCL) data and other pixelated/voxelized point clouds derived from terrestrial LiDAR scanning (TLS) data to calculate CSC metrics of interest to ecologists, modellers, forest managers, and remote sensing scientists.&quot;,&quot;publisher&quot;:&quot;British Ecological Society&quot;,&quot;issue&quot;:&quot;10&quot;,&quot;volume&quot;:&quot;9&quot;,&quot;expandedJournalTitle&quot;:&quot;Methods in Ecology and Evolution&quot;},&quot;isTemporary&quot;:false}],&quot;citationTag&quot;:&quot;MENDELEY_CITATION_v3_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&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0F302-CA60-4813-A529-1D17C1F45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22295</TotalTime>
  <Pages>21</Pages>
  <Words>3766</Words>
  <Characters>21468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Haber</dc:creator>
  <cp:keywords/>
  <dc:description/>
  <cp:lastModifiedBy>Lisa Haber</cp:lastModifiedBy>
  <cp:revision>55</cp:revision>
  <dcterms:created xsi:type="dcterms:W3CDTF">2022-01-21T18:01:00Z</dcterms:created>
  <dcterms:modified xsi:type="dcterms:W3CDTF">2022-04-14T14:46:00Z</dcterms:modified>
</cp:coreProperties>
</file>