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80B20" w14:textId="5AE5992F" w:rsidR="00C142AD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Lisa Pezzuto| (917) 414-8120</w:t>
      </w:r>
      <w:r w:rsidR="00C8382F">
        <w:rPr>
          <w:rFonts w:ascii="Arial" w:eastAsia="Arial" w:hAnsi="Arial" w:cs="Arial"/>
          <w:sz w:val="20"/>
          <w:szCs w:val="20"/>
        </w:rPr>
        <w:t xml:space="preserve"> lisa.pezzuto@gmail.com</w:t>
      </w:r>
    </w:p>
    <w:tbl>
      <w:tblPr>
        <w:tblStyle w:val="a"/>
        <w:tblW w:w="16005" w:type="dxa"/>
        <w:tblInd w:w="0" w:type="dxa"/>
        <w:tblBorders>
          <w:top w:val="single" w:sz="8" w:space="0" w:color="747775"/>
          <w:left w:val="nil"/>
          <w:bottom w:val="single" w:sz="8" w:space="0" w:color="747775"/>
          <w:right w:val="nil"/>
          <w:insideH w:val="single" w:sz="8" w:space="0" w:color="747775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4995"/>
        <w:gridCol w:w="5505"/>
        <w:gridCol w:w="5505"/>
      </w:tblGrid>
      <w:tr w:rsidR="00C142AD" w14:paraId="106AB0F0" w14:textId="77777777" w:rsidTr="00C142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  <w:tblHeader/>
        </w:trPr>
        <w:tc>
          <w:tcPr>
            <w:tcW w:w="4995" w:type="dxa"/>
          </w:tcPr>
          <w:p w14:paraId="214F93D5" w14:textId="77777777" w:rsidR="00C142A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Associate Director, Measurement Innovation Operations</w:t>
            </w:r>
          </w:p>
          <w:p w14:paraId="04E7179E" w14:textId="77777777" w:rsidR="00C142A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People Inc.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Dotdash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Meredith) | Remote</w:t>
            </w:r>
          </w:p>
        </w:tc>
        <w:tc>
          <w:tcPr>
            <w:tcW w:w="5505" w:type="dxa"/>
          </w:tcPr>
          <w:p w14:paraId="3081B595" w14:textId="77777777" w:rsidR="00C142AD" w:rsidRDefault="00C142A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05" w:type="dxa"/>
          </w:tcPr>
          <w:p w14:paraId="7B1FDCE8" w14:textId="77777777" w:rsidR="00C142AD" w:rsidRDefault="00C142A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8129604" w14:textId="77777777" w:rsidR="00C142AD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Summary</w:t>
      </w:r>
    </w:p>
    <w:p w14:paraId="2C120573" w14:textId="77777777" w:rsidR="00C142AD" w:rsidRDefault="00000000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Senior measurement and advertising technology leader with 20+ years of experience driving platform-scale measurement, identity, and privacy initiatives across People Inc. and </w:t>
      </w:r>
      <w:proofErr w:type="spellStart"/>
      <w:r>
        <w:rPr>
          <w:rFonts w:ascii="Arial" w:eastAsia="Arial" w:hAnsi="Arial" w:cs="Arial"/>
          <w:sz w:val="20"/>
          <w:szCs w:val="20"/>
        </w:rPr>
        <w:t>Dotdash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Meredith. Proven track record of evolving measurement operations into strategic, future-facing capabilities that support </w:t>
      </w:r>
      <w:proofErr w:type="spellStart"/>
      <w:r>
        <w:rPr>
          <w:rFonts w:ascii="Arial" w:eastAsia="Arial" w:hAnsi="Arial" w:cs="Arial"/>
          <w:sz w:val="20"/>
          <w:szCs w:val="20"/>
        </w:rPr>
        <w:t>cookieless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identity, privacy-safe data onboarding, and advertiser trust.</w:t>
      </w:r>
    </w:p>
    <w:p w14:paraId="4A67D921" w14:textId="77777777" w:rsidR="00C142AD" w:rsidRDefault="00000000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Recognized internally as a connective leader across ad operations, data engineering, product, legal, and media teams, translating complex platform, identity, and regulatory constraints into scalable solutions that balance business impact, accuracy, and compliance.</w:t>
      </w:r>
    </w:p>
    <w:p w14:paraId="0D01A45A" w14:textId="77777777" w:rsidR="00C142AD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Professional Experience</w:t>
      </w:r>
    </w:p>
    <w:p w14:paraId="130AD09D" w14:textId="77777777" w:rsidR="00C142AD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Associate Director, Measurement Innovation Operations</w:t>
      </w:r>
    </w:p>
    <w:p w14:paraId="20F1C831" w14:textId="77777777" w:rsidR="00C142AD" w:rsidRDefault="00000000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People Inc. (</w:t>
      </w:r>
      <w:proofErr w:type="spellStart"/>
      <w:r>
        <w:rPr>
          <w:rFonts w:ascii="Arial" w:eastAsia="Arial" w:hAnsi="Arial" w:cs="Arial"/>
          <w:sz w:val="20"/>
          <w:szCs w:val="20"/>
        </w:rPr>
        <w:t>Dotdash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Meredith) | Jul 2025 – Present | Remote</w:t>
      </w:r>
    </w:p>
    <w:p w14:paraId="7699B945" w14:textId="77777777" w:rsidR="00C142AD" w:rsidRDefault="00000000">
      <w:pPr>
        <w:numPr>
          <w:ilvl w:val="0"/>
          <w:numId w:val="5"/>
        </w:numPr>
        <w:spacing w:before="240"/>
        <w:rPr>
          <w:rFonts w:ascii="Arial" w:eastAsia="Arial" w:hAnsi="Arial" w:cs="Arial"/>
          <w:color w:val="000000"/>
          <w:sz w:val="20"/>
          <w:szCs w:val="20"/>
        </w:rPr>
      </w:pPr>
      <w:r>
        <w:t>Partnered on privacy-safe clean room onboarding and measurement initiatives, enabling compliant analysis and secure collaboration at enterprise scale.</w:t>
      </w:r>
    </w:p>
    <w:p w14:paraId="0265721F" w14:textId="77777777" w:rsidR="00C142AD" w:rsidRDefault="00000000">
      <w:pPr>
        <w:numPr>
          <w:ilvl w:val="0"/>
          <w:numId w:val="5"/>
        </w:num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Partnered to define enterprise-wide measurement and identity strategy across People Inc., ensuring technical execution supports revenue objectives, advertiser requirements, and platform constraints.</w:t>
      </w:r>
    </w:p>
    <w:p w14:paraId="08D7D1E0" w14:textId="77777777" w:rsidR="00C142AD" w:rsidRDefault="00000000">
      <w:pPr>
        <w:numPr>
          <w:ilvl w:val="0"/>
          <w:numId w:val="5"/>
        </w:num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Owned end-to-end identity and consented data onboarding, including schema design, validation, and partner integrations with </w:t>
      </w:r>
      <w:proofErr w:type="spellStart"/>
      <w:r>
        <w:rPr>
          <w:rFonts w:ascii="Arial" w:eastAsia="Arial" w:hAnsi="Arial" w:cs="Arial"/>
          <w:sz w:val="20"/>
          <w:szCs w:val="20"/>
        </w:rPr>
        <w:t>LiveRamp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to enable compliant ingestion, activation, and reporting across the ad stack.</w:t>
      </w:r>
    </w:p>
    <w:p w14:paraId="5A9B4436" w14:textId="77777777" w:rsidR="00C142AD" w:rsidRDefault="00000000">
      <w:pPr>
        <w:numPr>
          <w:ilvl w:val="0"/>
          <w:numId w:val="5"/>
        </w:num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Defined and standardized deterministic and probabilistic identity methodologies across targeting, attribution, and reporting within privacy, regulatory, and platform limitations.</w:t>
      </w:r>
    </w:p>
    <w:p w14:paraId="1194A12E" w14:textId="77777777" w:rsidR="00C142AD" w:rsidRDefault="00000000">
      <w:pPr>
        <w:numPr>
          <w:ilvl w:val="0"/>
          <w:numId w:val="5"/>
        </w:num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Led mapping and integration of advertiser tags from Google Campaign Manager 360 (GCM360) into the People Inc. ad stack to support accurate measurement and attribution.</w:t>
      </w:r>
    </w:p>
    <w:p w14:paraId="0DF8168A" w14:textId="77777777" w:rsidR="00C142AD" w:rsidRDefault="00000000">
      <w:pPr>
        <w:numPr>
          <w:ilvl w:val="0"/>
          <w:numId w:val="5"/>
        </w:num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Served as senior advisor to product, data engineering, media, and legal teams on identity architecture, AI feasibility, measurement integrity, and privacy tradeoffs.</w:t>
      </w:r>
    </w:p>
    <w:p w14:paraId="018561C9" w14:textId="77777777" w:rsidR="00C142AD" w:rsidRDefault="00000000">
      <w:pPr>
        <w:numPr>
          <w:ilvl w:val="0"/>
          <w:numId w:val="5"/>
        </w:numPr>
        <w:spacing w:after="2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Influenced product and measurement roadmaps by translating regulatory change, platform policy shifts, automation opportunities, AI capabilities, and advertiser needs into clear, actionable strategy.</w:t>
      </w:r>
    </w:p>
    <w:p w14:paraId="75051197" w14:textId="77777777" w:rsidR="00C142AD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Associate Director, Measurement Operations</w:t>
      </w:r>
    </w:p>
    <w:p w14:paraId="5E80C930" w14:textId="77777777" w:rsidR="00C142AD" w:rsidRDefault="00000000">
      <w:pPr>
        <w:spacing w:before="240" w:after="24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Dotdash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Meredith / People Inc. | March 2023 – Present | Remote</w:t>
      </w:r>
    </w:p>
    <w:p w14:paraId="0DB31B12" w14:textId="77777777" w:rsidR="00C142AD" w:rsidRDefault="00000000">
      <w:pPr>
        <w:numPr>
          <w:ilvl w:val="0"/>
          <w:numId w:val="2"/>
        </w:numPr>
        <w:spacing w:before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Owned measurement operations for large-scale, enterprise digital advertising environments supporting premium publisher portfolios.</w:t>
      </w:r>
    </w:p>
    <w:p w14:paraId="2B2232D8" w14:textId="77777777" w:rsidR="00C142AD" w:rsidRDefault="00000000">
      <w:pPr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Served as senior subject-matter expert on Google Ad Manager, Google Analytics, Google Marketing Platform 360, </w:t>
      </w:r>
      <w:proofErr w:type="spellStart"/>
      <w:r>
        <w:rPr>
          <w:rFonts w:ascii="Arial" w:eastAsia="Arial" w:hAnsi="Arial" w:cs="Arial"/>
          <w:sz w:val="20"/>
          <w:szCs w:val="20"/>
        </w:rPr>
        <w:t>BigQuery</w:t>
      </w:r>
      <w:proofErr w:type="spellEnd"/>
      <w:r>
        <w:rPr>
          <w:rFonts w:ascii="Arial" w:eastAsia="Arial" w:hAnsi="Arial" w:cs="Arial"/>
          <w:sz w:val="20"/>
          <w:szCs w:val="20"/>
        </w:rPr>
        <w:t>, and Google Ads &amp; GMP APIs.</w:t>
      </w:r>
    </w:p>
    <w:p w14:paraId="5A054FE0" w14:textId="77777777" w:rsidR="00C142AD" w:rsidRDefault="00000000">
      <w:pPr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Established scalable reporting, attribution, and data transfer frameworks used by internal stakeholders and external advertisers.</w:t>
      </w:r>
    </w:p>
    <w:p w14:paraId="18D62230" w14:textId="77777777" w:rsidR="00C142AD" w:rsidRDefault="00000000">
      <w:pPr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Authored and maintained the Google Ad Manager (GAM) reporting dictionary, standardizing metric definitions, dimensions, and business logic to improve data consistency, trust, and usability across teams.</w:t>
      </w:r>
    </w:p>
    <w:p w14:paraId="69EA4ECC" w14:textId="77777777" w:rsidR="00C142AD" w:rsidRDefault="00000000">
      <w:pPr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Partnered with ad operations, analytics, and engineering teams to debug discrepancies, validate reporting outputs, and ensure accurate interpretation of GAM data.</w:t>
      </w:r>
      <w:r>
        <w:rPr>
          <w:rFonts w:ascii="Arial" w:eastAsia="Arial" w:hAnsi="Arial" w:cs="Arial"/>
          <w:sz w:val="20"/>
          <w:szCs w:val="20"/>
        </w:rPr>
        <w:br/>
        <w:t>Led prioritization and requirements for measurement tooling, influencing engineering investment and platform architecture decisions.</w:t>
      </w:r>
    </w:p>
    <w:p w14:paraId="5CDDCD43" w14:textId="77777777" w:rsidR="00C142AD" w:rsidRDefault="00000000">
      <w:pPr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Provided executive-level guidance on how identity constraints, platform policy changes, and data limitations impact measurement accuracy and business outcomes.</w:t>
      </w:r>
    </w:p>
    <w:p w14:paraId="4418656C" w14:textId="77777777" w:rsidR="00C142AD" w:rsidRDefault="00000000">
      <w:pPr>
        <w:numPr>
          <w:ilvl w:val="0"/>
          <w:numId w:val="2"/>
        </w:numPr>
        <w:spacing w:after="240"/>
        <w:rPr>
          <w:rFonts w:ascii="Arial" w:eastAsia="Arial" w:hAnsi="Arial" w:cs="Arial"/>
          <w:sz w:val="20"/>
          <w:szCs w:val="20"/>
        </w:rPr>
      </w:pPr>
      <w:r>
        <w:t>Rebuilding Salesforce logic and usage to support measurement workflows, partner requirements, and scalable reporting.</w:t>
      </w:r>
    </w:p>
    <w:p w14:paraId="76F7B127" w14:textId="77777777" w:rsidR="00C142AD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Senior Manager, Ad Tech Compliance</w:t>
      </w:r>
    </w:p>
    <w:p w14:paraId="17542BF7" w14:textId="77777777" w:rsidR="00C142AD" w:rsidRDefault="00000000">
      <w:pPr>
        <w:spacing w:before="240" w:after="24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Dotdash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Meredith | Jul 2021 – Mar 2023</w:t>
      </w:r>
    </w:p>
    <w:p w14:paraId="132773E2" w14:textId="77777777" w:rsidR="00C142AD" w:rsidRDefault="00000000">
      <w:pPr>
        <w:numPr>
          <w:ilvl w:val="0"/>
          <w:numId w:val="3"/>
        </w:numPr>
        <w:spacing w:before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Led ad tech compliance strategy across platforms, vendors, and measurement partners during periods of accelerated privacy, regulatory, and platform change.</w:t>
      </w:r>
    </w:p>
    <w:p w14:paraId="6B954DB6" w14:textId="77777777" w:rsidR="00C142AD" w:rsidRDefault="00000000">
      <w:pPr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Defined operational controls and product requirements aligned with platform policies, consent frameworks, and regulatory standards at network scale.</w:t>
      </w:r>
    </w:p>
    <w:p w14:paraId="59D32A30" w14:textId="77777777" w:rsidR="00C142AD" w:rsidRDefault="00000000">
      <w:pPr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Designed and validated U.S. privacy decision logic to determine opt-in vs. opt-out eligibility, incorporating </w:t>
      </w:r>
      <w:proofErr w:type="spellStart"/>
      <w:r>
        <w:rPr>
          <w:rFonts w:ascii="Arial" w:eastAsia="Arial" w:hAnsi="Arial" w:cs="Arial"/>
          <w:sz w:val="20"/>
          <w:szCs w:val="20"/>
        </w:rPr>
        <w:t>OneTrust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geolocation, consent groups, GPC signals, and user interaction states to enable or disable restricted data processing (RDP).</w:t>
      </w:r>
    </w:p>
    <w:p w14:paraId="15066302" w14:textId="77777777" w:rsidR="00C142AD" w:rsidRDefault="00000000">
      <w:pPr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Led hands-on consent debugging and validation using Chrome Developer Tools to inspect </w:t>
      </w:r>
      <w:proofErr w:type="spellStart"/>
      <w:r>
        <w:rPr>
          <w:rFonts w:ascii="Arial" w:eastAsia="Arial" w:hAnsi="Arial" w:cs="Arial"/>
          <w:sz w:val="20"/>
          <w:szCs w:val="20"/>
        </w:rPr>
        <w:t>OneTrust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cookies, decode consent parameters, and troubleshoot misfiring consent states impacting measurement and monetization.</w:t>
      </w:r>
    </w:p>
    <w:p w14:paraId="311108F6" w14:textId="77777777" w:rsidR="00C142AD" w:rsidRDefault="00000000">
      <w:pPr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Partnered closely with Ad Operations, legal, product, and engineering teams to assess risk and implement compliant advertising and measurement solutions.</w:t>
      </w:r>
    </w:p>
    <w:p w14:paraId="759198E9" w14:textId="77777777" w:rsidR="00C142AD" w:rsidRDefault="00000000">
      <w:pPr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Established and enforced pixel vetting and approval standards to ensure third-party tags, measurement pixels, and identity technologies complied with privacy requirements, platform policies, and People Inc. risk thresholds prior to deployment.</w:t>
      </w:r>
    </w:p>
    <w:p w14:paraId="6DA410C9" w14:textId="77777777" w:rsidR="00C142AD" w:rsidRDefault="00000000">
      <w:pPr>
        <w:numPr>
          <w:ilvl w:val="0"/>
          <w:numId w:val="3"/>
        </w:numPr>
        <w:spacing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Own end-to-end identity and consented data onboarding strategy with partners including </w:t>
      </w:r>
      <w:proofErr w:type="spellStart"/>
      <w:r>
        <w:rPr>
          <w:rFonts w:ascii="Arial" w:eastAsia="Arial" w:hAnsi="Arial" w:cs="Arial"/>
          <w:sz w:val="20"/>
          <w:szCs w:val="20"/>
        </w:rPr>
        <w:t>LiveRamp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and </w:t>
      </w:r>
      <w:proofErr w:type="spellStart"/>
      <w:r>
        <w:rPr>
          <w:rFonts w:ascii="Arial" w:eastAsia="Arial" w:hAnsi="Arial" w:cs="Arial"/>
          <w:sz w:val="20"/>
          <w:szCs w:val="20"/>
        </w:rPr>
        <w:t>OneTrust</w:t>
      </w:r>
      <w:proofErr w:type="spellEnd"/>
      <w:r>
        <w:rPr>
          <w:rFonts w:ascii="Arial" w:eastAsia="Arial" w:hAnsi="Arial" w:cs="Arial"/>
          <w:sz w:val="20"/>
          <w:szCs w:val="20"/>
        </w:rPr>
        <w:t>, enabling compliant ingestion, activation, and measurement across the People Inc. ad stack.</w:t>
      </w:r>
    </w:p>
    <w:p w14:paraId="4A24EFAC" w14:textId="77777777" w:rsidR="00C142AD" w:rsidRDefault="00000000">
      <w:pPr>
        <w:pStyle w:val="Heading3"/>
        <w:keepNext w:val="0"/>
        <w:keepLines w:val="0"/>
        <w:rPr>
          <w:rFonts w:ascii="Arial" w:eastAsia="Arial" w:hAnsi="Arial" w:cs="Arial"/>
          <w:sz w:val="20"/>
          <w:szCs w:val="20"/>
        </w:rPr>
      </w:pPr>
      <w:bookmarkStart w:id="0" w:name="_o9spuz30rani" w:colFirst="0" w:colLast="0"/>
      <w:bookmarkEnd w:id="0"/>
      <w:r>
        <w:rPr>
          <w:rFonts w:ascii="Arial" w:eastAsia="Arial" w:hAnsi="Arial" w:cs="Arial"/>
          <w:sz w:val="20"/>
          <w:szCs w:val="20"/>
        </w:rPr>
        <w:t xml:space="preserve">Senior Manager, Ad Tech  </w:t>
      </w:r>
    </w:p>
    <w:p w14:paraId="060B6EAF" w14:textId="77777777" w:rsidR="00C142AD" w:rsidRDefault="00000000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May 2013 – Jul 2025</w:t>
      </w:r>
    </w:p>
    <w:p w14:paraId="7FA1D0D7" w14:textId="77777777" w:rsidR="00C142AD" w:rsidRDefault="00000000">
      <w:pPr>
        <w:numPr>
          <w:ilvl w:val="0"/>
          <w:numId w:val="1"/>
        </w:numPr>
        <w:spacing w:before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Owned ad tech measurement operations for enterprise-scale digital advertising environments supporting premium publisher portfolios across the People Inc. network.</w:t>
      </w:r>
    </w:p>
    <w:p w14:paraId="7DD5BAD1" w14:textId="77777777" w:rsidR="00C142AD" w:rsidRDefault="00000000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Served as senior subject-matter expert for Google Ad Manager, Google Marketing Platform 360, </w:t>
      </w:r>
      <w:proofErr w:type="spellStart"/>
      <w:r>
        <w:rPr>
          <w:rFonts w:ascii="Arial" w:eastAsia="Arial" w:hAnsi="Arial" w:cs="Arial"/>
          <w:sz w:val="20"/>
          <w:szCs w:val="20"/>
        </w:rPr>
        <w:t>BigQuery</w:t>
      </w:r>
      <w:proofErr w:type="spellEnd"/>
      <w:r>
        <w:rPr>
          <w:rFonts w:ascii="Arial" w:eastAsia="Arial" w:hAnsi="Arial" w:cs="Arial"/>
          <w:sz w:val="20"/>
          <w:szCs w:val="20"/>
        </w:rPr>
        <w:t>, and GMP APIs, advising teams on platform capabilities, limitations, and network-wide implementation standards.</w:t>
      </w:r>
    </w:p>
    <w:p w14:paraId="0B6CE7BA" w14:textId="77777777" w:rsidR="00C142AD" w:rsidRDefault="00000000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Designed and maintained network-level technical specifications for advertising, measurement, reporting, and data transfer systems, ensuring consistent implementation across brands and platforms.</w:t>
      </w:r>
      <w:r>
        <w:rPr>
          <w:rFonts w:ascii="Arial" w:eastAsia="Arial" w:hAnsi="Arial" w:cs="Arial"/>
          <w:sz w:val="20"/>
          <w:szCs w:val="20"/>
        </w:rPr>
        <w:br/>
        <w:t>Designed, implemented, and governed scalable reporting, attribution, and data transfer frameworks used across the People Inc. network by internal teams and external partners.</w:t>
      </w:r>
    </w:p>
    <w:p w14:paraId="6C029186" w14:textId="77777777" w:rsidR="00C142AD" w:rsidRDefault="00000000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Authored and governed the Google Ad Manager Reporting Dictionary, standardizing metrics, definitions, and business logic at network scale.</w:t>
      </w:r>
      <w:r>
        <w:rPr>
          <w:rFonts w:ascii="Arial" w:eastAsia="Arial" w:hAnsi="Arial" w:cs="Arial"/>
          <w:sz w:val="20"/>
          <w:szCs w:val="20"/>
        </w:rPr>
        <w:br/>
        <w:t>Led prioritization and technical requirements for ad tech and measurement tooling, influencing engineering investment and ad stack architecture decisions across the network.</w:t>
      </w:r>
    </w:p>
    <w:p w14:paraId="3995C268" w14:textId="77777777" w:rsidR="00C142AD" w:rsidRDefault="00000000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Advised executive stakeholders on platform policy changes, identity limitations, and measurement tradeoffs impacting network-wide monetization and advertiser outcomes.</w:t>
      </w:r>
    </w:p>
    <w:p w14:paraId="414FEBDE" w14:textId="77777777" w:rsidR="00C142AD" w:rsidRDefault="00000000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Partnered on the GPT Project to evaluate ad tech–adjacent AI use cases while maintaining advertiser trust, data governance, and platform integrity.</w:t>
      </w:r>
    </w:p>
    <w:p w14:paraId="3218868E" w14:textId="77777777" w:rsidR="00C142AD" w:rsidRDefault="00000000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Led and supported TAG Certified Against Fraud (CAF) compliance across the People Inc. network, ensuring alignment with advertiser, holding company, and industry standards.</w:t>
      </w:r>
    </w:p>
    <w:p w14:paraId="71EEC66E" w14:textId="77777777" w:rsidR="00C142AD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Supported migration of the enterprise ad stack from legacy Meredith implementations to the Allrecipes Google Ad Manager environment, ensuring continuity, data integrity, and measurement reliability across the network.</w:t>
      </w:r>
      <w:r>
        <w:rPr>
          <w:rFonts w:ascii="Arial" w:eastAsia="Arial" w:hAnsi="Arial" w:cs="Arial"/>
          <w:sz w:val="20"/>
          <w:szCs w:val="20"/>
        </w:rPr>
        <w:br/>
      </w:r>
    </w:p>
    <w:p w14:paraId="703F69C9" w14:textId="77777777" w:rsidR="00C142AD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Thought Leadership &amp; Industry Engagement</w:t>
      </w:r>
    </w:p>
    <w:p w14:paraId="4BCA3F93" w14:textId="77777777" w:rsidR="00C142AD" w:rsidRDefault="00000000">
      <w:pPr>
        <w:numPr>
          <w:ilvl w:val="0"/>
          <w:numId w:val="6"/>
        </w:numPr>
        <w:spacing w:before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Active contributor to the Advertising Research Foundation (ARF) Identity Resolution Working Group, authoring and shaping white papers on identity frameworks, measurement implications, and privacy-forward standards.</w:t>
      </w:r>
    </w:p>
    <w:p w14:paraId="28F5D879" w14:textId="77777777" w:rsidR="00C142AD" w:rsidRDefault="00000000">
      <w:pPr>
        <w:numPr>
          <w:ilvl w:val="0"/>
          <w:numId w:val="6"/>
        </w:numPr>
        <w:spacing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Bring industry learnings back into People Inc. by translating external research and emerging standards into practical measurement guidance, internal frameworks, and platform strategy.</w:t>
      </w:r>
    </w:p>
    <w:p w14:paraId="7A7E6D46" w14:textId="77777777" w:rsidR="00C142AD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Earlier Career</w:t>
      </w:r>
    </w:p>
    <w:p w14:paraId="5F331608" w14:textId="77777777" w:rsidR="00C142AD" w:rsidRDefault="00000000">
      <w:pPr>
        <w:numPr>
          <w:ilvl w:val="0"/>
          <w:numId w:val="4"/>
        </w:numPr>
        <w:spacing w:before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Ad Operations Director, Build Consultant &amp; Research Director – </w:t>
      </w:r>
      <w:proofErr w:type="spellStart"/>
      <w:r>
        <w:rPr>
          <w:rFonts w:ascii="Arial" w:eastAsia="Arial" w:hAnsi="Arial" w:cs="Arial"/>
          <w:sz w:val="20"/>
          <w:szCs w:val="20"/>
        </w:rPr>
        <w:t>Mediabend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Capital </w:t>
      </w:r>
      <w:hyperlink r:id="rId5">
        <w:r>
          <w:rPr>
            <w:rFonts w:ascii="Arial" w:eastAsia="Arial" w:hAnsi="Arial" w:cs="Arial"/>
            <w:color w:val="1155CC"/>
            <w:sz w:val="20"/>
            <w:szCs w:val="20"/>
            <w:u w:val="single"/>
          </w:rPr>
          <w:t>TODs</w:t>
        </w:r>
      </w:hyperlink>
      <w:r>
        <w:rPr>
          <w:rFonts w:ascii="Arial" w:eastAsia="Arial" w:hAnsi="Arial" w:cs="Arial"/>
          <w:sz w:val="20"/>
          <w:szCs w:val="20"/>
        </w:rPr>
        <w:t xml:space="preserve"> Fashion Group </w:t>
      </w:r>
    </w:p>
    <w:p w14:paraId="45E117A2" w14:textId="77777777" w:rsidR="00C142AD" w:rsidRDefault="00000000">
      <w:pPr>
        <w:numPr>
          <w:ilvl w:val="0"/>
          <w:numId w:val="4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Sales Partnership Manager | Digital Operations– Newsweek &amp; The Daily Beast, brought the Beast from a CMS only to Google led ad delivery</w:t>
      </w:r>
    </w:p>
    <w:p w14:paraId="67547CD0" w14:textId="77777777" w:rsidR="00C142AD" w:rsidRDefault="00000000">
      <w:pPr>
        <w:numPr>
          <w:ilvl w:val="0"/>
          <w:numId w:val="4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Ad Services Director | Ad Tech– Latina Media Ventures - </w:t>
      </w:r>
      <w:hyperlink r:id="rId6">
        <w:r>
          <w:rPr>
            <w:rFonts w:ascii="Arial" w:eastAsia="Arial" w:hAnsi="Arial" w:cs="Arial"/>
            <w:color w:val="000000"/>
            <w:sz w:val="20"/>
            <w:szCs w:val="20"/>
            <w:highlight w:val="white"/>
          </w:rPr>
          <w:t>Solera Capital</w:t>
        </w:r>
      </w:hyperlink>
    </w:p>
    <w:p w14:paraId="2F452509" w14:textId="77777777" w:rsidR="00C142AD" w:rsidRDefault="00000000">
      <w:pPr>
        <w:numPr>
          <w:ilvl w:val="0"/>
          <w:numId w:val="4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Finance Manager – Giant Magazine - privately financed, founder-led media startup</w:t>
      </w:r>
    </w:p>
    <w:p w14:paraId="0AAA8C36" w14:textId="77777777" w:rsidR="00C142AD" w:rsidRDefault="00000000">
      <w:pPr>
        <w:numPr>
          <w:ilvl w:val="0"/>
          <w:numId w:val="4"/>
        </w:numPr>
        <w:spacing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Ad Services Associate – MAXIM Magazine</w:t>
      </w:r>
    </w:p>
    <w:p w14:paraId="4BD1A119" w14:textId="77777777" w:rsidR="00C142AD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Core Skills &amp; Focus Areas</w:t>
      </w:r>
    </w:p>
    <w:p w14:paraId="441E1FBD" w14:textId="77777777" w:rsidR="00C142AD" w:rsidRDefault="00000000">
      <w:pPr>
        <w:numPr>
          <w:ilvl w:val="0"/>
          <w:numId w:val="7"/>
        </w:numPr>
        <w:spacing w:before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Identity Resolution &amp; Data Onboarding </w:t>
      </w:r>
    </w:p>
    <w:p w14:paraId="52B45F77" w14:textId="77777777" w:rsidR="00C142AD" w:rsidRDefault="00000000">
      <w:pPr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Privacy-First Measurement &amp; Compliance</w:t>
      </w:r>
    </w:p>
    <w:p w14:paraId="6CBF2ED8" w14:textId="77777777" w:rsidR="00C142AD" w:rsidRDefault="00000000">
      <w:pPr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Cookieless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Targeting, Activation &amp; Attribution</w:t>
      </w:r>
    </w:p>
    <w:p w14:paraId="7D7513C5" w14:textId="77777777" w:rsidR="00C142AD" w:rsidRDefault="00000000">
      <w:pPr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BigQuery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Google Ad Manager, Google Marketing Platform 360, </w:t>
      </w:r>
      <w:proofErr w:type="spellStart"/>
      <w:r>
        <w:rPr>
          <w:rFonts w:ascii="Arial" w:eastAsia="Arial" w:hAnsi="Arial" w:cs="Arial"/>
          <w:sz w:val="20"/>
          <w:szCs w:val="20"/>
        </w:rPr>
        <w:t>Liveramp</w:t>
      </w:r>
      <w:proofErr w:type="spellEnd"/>
    </w:p>
    <w:p w14:paraId="0F845DC9" w14:textId="77777777" w:rsidR="00C142AD" w:rsidRDefault="00000000">
      <w:pPr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AI-Enabled Measurement &amp; Automation</w:t>
      </w:r>
    </w:p>
    <w:p w14:paraId="640EAD2D" w14:textId="77777777" w:rsidR="00C142AD" w:rsidRDefault="00000000">
      <w:pPr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Applied LLM Use Cases (Analysis, Documentation, Workflow Acceleration)</w:t>
      </w:r>
    </w:p>
    <w:p w14:paraId="22168A4A" w14:textId="77777777" w:rsidR="00C142AD" w:rsidRDefault="00000000">
      <w:pPr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AI Governance, Risk, and Platform Constraints</w:t>
      </w:r>
    </w:p>
    <w:p w14:paraId="55C404C9" w14:textId="77777777" w:rsidR="00C142AD" w:rsidRDefault="00000000">
      <w:pPr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Product Requirements &amp; Cross-Functional Leadership</w:t>
      </w:r>
    </w:p>
    <w:p w14:paraId="5BF86CEF" w14:textId="77777777" w:rsidR="00C142AD" w:rsidRDefault="00000000">
      <w:pPr>
        <w:numPr>
          <w:ilvl w:val="0"/>
          <w:numId w:val="7"/>
        </w:numPr>
        <w:spacing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Ad Tech|Delivery Platforms &amp; Measurement Operations</w:t>
      </w:r>
    </w:p>
    <w:p w14:paraId="6477E576" w14:textId="77777777" w:rsidR="00C142AD" w:rsidRDefault="00000000">
      <w:pPr>
        <w:pStyle w:val="Heading3"/>
        <w:keepNext w:val="0"/>
        <w:keepLines w:val="0"/>
        <w:rPr>
          <w:rFonts w:ascii="Arial" w:eastAsia="Arial" w:hAnsi="Arial" w:cs="Arial"/>
          <w:sz w:val="20"/>
          <w:szCs w:val="20"/>
        </w:rPr>
      </w:pPr>
      <w:bookmarkStart w:id="1" w:name="_56vrdtsqnu91" w:colFirst="0" w:colLast="0"/>
      <w:bookmarkEnd w:id="1"/>
      <w:r>
        <w:rPr>
          <w:rFonts w:ascii="Arial" w:eastAsia="Arial" w:hAnsi="Arial" w:cs="Arial"/>
          <w:sz w:val="20"/>
          <w:szCs w:val="20"/>
        </w:rPr>
        <w:t>Education</w:t>
      </w:r>
    </w:p>
    <w:p w14:paraId="66AADB7F" w14:textId="77777777" w:rsidR="00C142AD" w:rsidRDefault="00000000">
      <w:pPr>
        <w:numPr>
          <w:ilvl w:val="0"/>
          <w:numId w:val="7"/>
        </w:numPr>
        <w:spacing w:before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Bachelor of Science in Psychology</w:t>
      </w:r>
      <w:r>
        <w:rPr>
          <w:rFonts w:ascii="Arial" w:eastAsia="Arial" w:hAnsi="Arial" w:cs="Arial"/>
          <w:sz w:val="20"/>
          <w:szCs w:val="20"/>
        </w:rPr>
        <w:t xml:space="preserve"> — </w:t>
      </w:r>
      <w:r>
        <w:rPr>
          <w:rFonts w:ascii="Arial" w:eastAsia="Arial" w:hAnsi="Arial" w:cs="Arial"/>
          <w:i/>
          <w:iCs/>
          <w:sz w:val="20"/>
          <w:szCs w:val="20"/>
        </w:rPr>
        <w:t>Long Island University</w:t>
      </w:r>
    </w:p>
    <w:p w14:paraId="43B38C1A" w14:textId="77777777" w:rsidR="00C142AD" w:rsidRDefault="00000000">
      <w:pPr>
        <w:numPr>
          <w:ilvl w:val="1"/>
          <w:numId w:val="7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i/>
          <w:iCs/>
          <w:sz w:val="20"/>
          <w:szCs w:val="20"/>
        </w:rPr>
        <w:lastRenderedPageBreak/>
        <w:t>Coursework focused on experimental design, behavioral research methods, data analysis, and interpretation of human behavior.</w:t>
      </w:r>
    </w:p>
    <w:p w14:paraId="5A1289AD" w14:textId="77777777" w:rsidR="00C142AD" w:rsidRDefault="00000000">
      <w:pPr>
        <w:numPr>
          <w:ilvl w:val="0"/>
          <w:numId w:val="7"/>
        </w:numPr>
        <w:spacing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Graduate studies / coursework</w:t>
      </w:r>
      <w:r>
        <w:rPr>
          <w:rFonts w:ascii="Arial" w:eastAsia="Arial" w:hAnsi="Arial" w:cs="Arial"/>
          <w:sz w:val="20"/>
          <w:szCs w:val="20"/>
        </w:rPr>
        <w:t xml:space="preserve"> — </w:t>
      </w:r>
      <w:r>
        <w:rPr>
          <w:rFonts w:ascii="Arial" w:eastAsia="Arial" w:hAnsi="Arial" w:cs="Arial"/>
          <w:i/>
          <w:iCs/>
          <w:sz w:val="20"/>
          <w:szCs w:val="20"/>
        </w:rPr>
        <w:t xml:space="preserve">Baruch College, Industrial-Organizational (I-O) Psychology </w:t>
      </w:r>
    </w:p>
    <w:p w14:paraId="14388F96" w14:textId="77777777" w:rsidR="00C142AD" w:rsidRDefault="00C142AD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58E929E2" w14:textId="77777777" w:rsidR="00C142AD" w:rsidRDefault="00C142AD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3F8AC61" w14:textId="77777777" w:rsidR="00C142AD" w:rsidRDefault="00C142AD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75F9C094" w14:textId="77777777" w:rsidR="00C142AD" w:rsidRDefault="00C142AD">
      <w:pPr>
        <w:rPr>
          <w:rFonts w:ascii="Arial" w:eastAsia="Arial" w:hAnsi="Arial" w:cs="Arial"/>
          <w:sz w:val="20"/>
          <w:szCs w:val="20"/>
        </w:rPr>
      </w:pPr>
    </w:p>
    <w:sectPr w:rsidR="00C142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AF21FBE-8B0B-EA4C-9C4F-B0828A92B737}"/>
  </w:font>
  <w:font w:name="Inter">
    <w:charset w:val="00"/>
    <w:family w:val="auto"/>
    <w:pitch w:val="default"/>
    <w:embedRegular r:id="rId2" w:fontKey="{26625F94-1216-D64E-AF45-7CD9EB5C1FDE}"/>
    <w:embedItalic r:id="rId3" w:fontKey="{6F9B8EB3-0BA1-A94C-811D-51624371D119}"/>
    <w:embedBoldItalic r:id="rId4" w:fontKey="{4CFBC80C-C0B2-8C40-BCAF-14A8CBEE7095}"/>
  </w:font>
  <w:font w:name="Inter Medium">
    <w:charset w:val="00"/>
    <w:family w:val="auto"/>
    <w:pitch w:val="default"/>
    <w:embedRegular r:id="rId5" w:fontKey="{E3A1C868-CD53-0642-835C-04D8DCF5F7EB}"/>
    <w:embedBold r:id="rId6" w:fontKey="{CF1CED13-5828-9047-84DF-84CCD75193DD}"/>
    <w:embedBoldItalic r:id="rId7" w:fontKey="{B0D39E0E-AB71-104A-945F-993BBBC6D56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CB2E7A94-9F43-7344-B6BD-4D338F68B36C}"/>
    <w:embedBold r:id="rId9" w:fontKey="{DC973996-A5A4-A44D-B67E-AD7B22E48357}"/>
    <w:embedItalic r:id="rId10" w:fontKey="{EFB0A8BA-FF5F-054E-938D-9087D35703ED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11" w:fontKey="{01177420-D370-5646-BCF0-BA08C6A4F018}"/>
  </w:font>
  <w:font w:name="Cambria">
    <w:panose1 w:val="02040503050406030204"/>
    <w:charset w:val="00"/>
    <w:family w:val="roman"/>
    <w:notTrueType/>
    <w:pitch w:val="default"/>
    <w:embedRegular r:id="rId12" w:fontKey="{E3A46E53-3FE5-914D-9ACC-D7232F9FA7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283"/>
    <w:multiLevelType w:val="multilevel"/>
    <w:tmpl w:val="BD4CC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D276D5"/>
    <w:multiLevelType w:val="multilevel"/>
    <w:tmpl w:val="54C8F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0D6E64"/>
    <w:multiLevelType w:val="multilevel"/>
    <w:tmpl w:val="A7725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495433"/>
    <w:multiLevelType w:val="multilevel"/>
    <w:tmpl w:val="4860E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600876"/>
    <w:multiLevelType w:val="multilevel"/>
    <w:tmpl w:val="A6CA3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F97173"/>
    <w:multiLevelType w:val="multilevel"/>
    <w:tmpl w:val="500A2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746F52"/>
    <w:multiLevelType w:val="multilevel"/>
    <w:tmpl w:val="D1A8C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087428">
    <w:abstractNumId w:val="3"/>
  </w:num>
  <w:num w:numId="2" w16cid:durableId="1379283999">
    <w:abstractNumId w:val="5"/>
  </w:num>
  <w:num w:numId="3" w16cid:durableId="1164202567">
    <w:abstractNumId w:val="2"/>
  </w:num>
  <w:num w:numId="4" w16cid:durableId="1000935085">
    <w:abstractNumId w:val="4"/>
  </w:num>
  <w:num w:numId="5" w16cid:durableId="1077676734">
    <w:abstractNumId w:val="1"/>
  </w:num>
  <w:num w:numId="6" w16cid:durableId="549079229">
    <w:abstractNumId w:val="6"/>
  </w:num>
  <w:num w:numId="7" w16cid:durableId="1586650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2AD"/>
    <w:rsid w:val="002A6C67"/>
    <w:rsid w:val="00C142AD"/>
    <w:rsid w:val="00C8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247CBD"/>
  <w15:docId w15:val="{9FEBD79A-1B63-2E4E-82FE-5F8E3542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F1F1F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Inter Medium" w:eastAsia="Inter Medium" w:hAnsi="Inter Medium" w:cs="Inter Medium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rFonts w:ascii="Inter Medium" w:eastAsia="Inter Medium" w:hAnsi="Inter Medium" w:cs="Inter Medium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rFonts w:ascii="Inter Medium" w:eastAsia="Inter Medium" w:hAnsi="Inter Medium" w:cs="Inter Medium"/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Inter Medium" w:eastAsia="Inter Medium" w:hAnsi="Inter Medium" w:cs="Inter Medium"/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Inter Medium" w:eastAsia="Inter Medium" w:hAnsi="Inter Medium" w:cs="Inter Medium"/>
      <w:b/>
      <w:bCs/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Inter Medium" w:eastAsia="Inter Medium" w:hAnsi="Inter Medium" w:cs="Inter Medium"/>
      <w:b/>
      <w:bCs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color w:val="1F1F1F"/>
        <w:sz w:val="22"/>
        <w:szCs w:val="22"/>
      </w:rPr>
      <w:tblPr/>
      <w:tcPr>
        <w:tcBorders>
          <w:top w:val="nil"/>
        </w:tcBorders>
        <w:shd w:val="clear" w:color="auto" w:fill="F2F2EF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rgr.com/investor/solera-capital" TargetMode="External"/><Relationship Id="rId5" Type="http://schemas.openxmlformats.org/officeDocument/2006/relationships/hyperlink" Target="https://www.tods.com/us-en/home/" TargetMode="Externa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1276</Words>
  <Characters>7276</Characters>
  <Application>Microsoft Office Word</Application>
  <DocSecurity>0</DocSecurity>
  <Lines>60</Lines>
  <Paragraphs>17</Paragraphs>
  <ScaleCrop>false</ScaleCrop>
  <Company/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Lisa Pezzuto</cp:lastModifiedBy>
  <cp:revision>2</cp:revision>
  <dcterms:created xsi:type="dcterms:W3CDTF">2026-02-06T14:13:00Z</dcterms:created>
  <dcterms:modified xsi:type="dcterms:W3CDTF">2026-02-06T14:13:00Z</dcterms:modified>
</cp:coreProperties>
</file>