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15" w:rsidRDefault="00AA3F15" w:rsidP="00AA3F15">
      <w:pPr>
        <w:ind w:left="-709"/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</w:p>
    <w:p w:rsidR="00AC358C" w:rsidRPr="008D1082" w:rsidRDefault="00BE2951">
      <w:pPr>
        <w:rPr>
          <w:rFonts w:eastAsia="SimSun" w:cs="Times New Roman"/>
          <w:noProof/>
          <w:color w:val="000000"/>
          <w:sz w:val="20"/>
          <w:szCs w:val="20"/>
          <w:lang w:val="en-US" w:eastAsia="zh-CN"/>
        </w:rPr>
      </w:pP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Table 1</w:t>
      </w:r>
      <w:r w:rsidR="00AA3F15" w:rsidRPr="00AA3F15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. 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>IC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bscript"/>
          <w:lang w:val="en-US" w:eastAsia="zh-CN"/>
        </w:rPr>
        <w:t>50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 xml:space="preserve"> (mg/L) and EC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bscript"/>
          <w:lang w:val="en-US" w:eastAsia="zh-CN"/>
        </w:rPr>
        <w:t>50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 xml:space="preserve"> (mg/L) values determined from the effects of </w:t>
      </w:r>
      <w:r w:rsidR="008D1082" w:rsidRPr="008D1082">
        <w:rPr>
          <w:rFonts w:ascii="PalatinoLinotype-Roman" w:hAnsi="PalatinoLinotype-Roman" w:cs="PalatinoLinotype-Roman"/>
          <w:sz w:val="20"/>
          <w:szCs w:val="20"/>
          <w:lang w:val="en-US"/>
        </w:rPr>
        <w:t>AI</w:t>
      </w:r>
      <w:r w:rsidR="008D1082" w:rsidRPr="008D1082">
        <w:rPr>
          <w:rFonts w:ascii="PalatinoLinotype-Roman" w:hAnsi="PalatinoLinotype-Roman" w:cs="PalatinoLinotype-Roman"/>
          <w:sz w:val="17"/>
          <w:szCs w:val="15"/>
          <w:lang w:val="en-US"/>
        </w:rPr>
        <w:t>a</w:t>
      </w:r>
      <w:r w:rsidR="008D1082" w:rsidRPr="008D1082">
        <w:rPr>
          <w:rFonts w:ascii="PalatinoLinotype-Roman" w:hAnsi="PalatinoLinotype-Roman" w:cs="PalatinoLinotype-Roman"/>
          <w:sz w:val="20"/>
          <w:szCs w:val="20"/>
          <w:lang w:val="en-US"/>
        </w:rPr>
        <w:t>s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 xml:space="preserve"> and </w:t>
      </w:r>
      <w:r w:rsidR="00AA3F15" w:rsidRPr="008D1082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>AI</w:t>
      </w:r>
      <w:r w:rsidR="00AA3F15" w:rsidRPr="008D1082">
        <w:rPr>
          <w:rFonts w:ascii="Palatino Linotype" w:eastAsia="SimSun" w:hAnsi="Palatino Linotype" w:cs="Times New Roman"/>
          <w:noProof/>
          <w:color w:val="000000"/>
          <w:sz w:val="15"/>
          <w:szCs w:val="15"/>
          <w:lang w:val="en-US" w:eastAsia="zh-CN"/>
        </w:rPr>
        <w:t>f</w:t>
      </w:r>
      <w:r w:rsidR="00AA3F15" w:rsidRPr="008D1082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>s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 xml:space="preserve"> on the activities of enzyme-based assay systems and </w:t>
      </w:r>
      <w:r w:rsidR="00AA3F15" w:rsidRPr="00AA3F15">
        <w:rPr>
          <w:rFonts w:ascii="Palatino Linotype" w:eastAsia="SimSun" w:hAnsi="Palatino Linotype" w:cs="Times New Roman"/>
          <w:i/>
          <w:noProof/>
          <w:color w:val="000000"/>
          <w:sz w:val="20"/>
          <w:szCs w:val="20"/>
          <w:lang w:val="en-US" w:eastAsia="zh-CN"/>
        </w:rPr>
        <w:t>P. phosphoreum</w:t>
      </w:r>
      <w:r w:rsidR="00AA3F15" w:rsidRPr="00AA3F15"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  <w:t xml:space="preserve"> bioluminescence.</w:t>
      </w:r>
    </w:p>
    <w:p w:rsidR="00AA3F15" w:rsidRDefault="00AA3F15">
      <w:pPr>
        <w:rPr>
          <w:rFonts w:ascii="Palatino Linotype" w:eastAsia="SimSun" w:hAnsi="Palatino Linotype" w:cs="Times New Roman"/>
          <w:noProof/>
          <w:color w:val="000000"/>
          <w:sz w:val="20"/>
          <w:szCs w:val="20"/>
          <w:lang w:val="en-US" w:eastAsia="zh-CN"/>
        </w:rPr>
      </w:pPr>
    </w:p>
    <w:tbl>
      <w:tblPr>
        <w:tblStyle w:val="a6"/>
        <w:tblpPr w:leftFromText="180" w:rightFromText="180" w:vertAnchor="text" w:tblpX="-147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6"/>
        <w:gridCol w:w="896"/>
        <w:gridCol w:w="1507"/>
        <w:gridCol w:w="1061"/>
        <w:gridCol w:w="1560"/>
        <w:gridCol w:w="992"/>
        <w:gridCol w:w="1134"/>
        <w:gridCol w:w="992"/>
        <w:gridCol w:w="1276"/>
      </w:tblGrid>
      <w:tr w:rsidR="00AA3F15" w:rsidRPr="00062A90" w:rsidTr="00762127">
        <w:trPr>
          <w:trHeight w:val="126"/>
        </w:trPr>
        <w:tc>
          <w:tcPr>
            <w:tcW w:w="2869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262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Fenvalerate</w:t>
            </w:r>
          </w:p>
        </w:tc>
        <w:tc>
          <w:tcPr>
            <w:tcW w:w="212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Deltamethrin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Cypermethrin</w:t>
            </w:r>
          </w:p>
        </w:tc>
      </w:tr>
      <w:tr w:rsidR="00AA3F15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Sempay</w:t>
            </w:r>
          </w:p>
        </w:tc>
        <w:tc>
          <w:tcPr>
            <w:tcW w:w="992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Delcid</w:t>
            </w:r>
          </w:p>
        </w:tc>
        <w:tc>
          <w:tcPr>
            <w:tcW w:w="992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Briz</w:t>
            </w:r>
          </w:p>
        </w:tc>
      </w:tr>
      <w:tr w:rsidR="00AA3F15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AA3F15" w:rsidRPr="00062A90" w:rsidTr="00762127">
        <w:tc>
          <w:tcPr>
            <w:tcW w:w="466" w:type="dxa"/>
            <w:vMerge w:val="restart"/>
            <w:textDirection w:val="btLr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896" w:type="dxa"/>
            <w:vMerge w:val="restart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276" w:type="dxa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276" w:type="dxa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120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± 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25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0.76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0.15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276" w:type="dxa"/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30930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9200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± 0.6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0.2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0.04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7.4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6.2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1.9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6.3</w:t>
            </w:r>
          </w:p>
        </w:tc>
        <w:tc>
          <w:tcPr>
            <w:tcW w:w="1276" w:type="dxa"/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150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42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10.4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2.5</w:t>
            </w:r>
          </w:p>
        </w:tc>
        <w:tc>
          <w:tcPr>
            <w:tcW w:w="11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16.7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4.2</w:t>
            </w: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0.2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0.04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23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 w:val="restart"/>
            <w:tcBorders>
              <w:top w:val="doub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Multi-Enzyme Assay Systems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146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43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81</w:t>
            </w:r>
          </w:p>
        </w:tc>
      </w:tr>
      <w:tr w:rsidR="00AA3F15" w:rsidRPr="00EE5C36" w:rsidTr="00762127">
        <w:tc>
          <w:tcPr>
            <w:tcW w:w="46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4.8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1.2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0.0014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0.00028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3.7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0.8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39.5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11.9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1.8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0.45</w:t>
            </w:r>
          </w:p>
        </w:tc>
        <w:tc>
          <w:tcPr>
            <w:tcW w:w="1276" w:type="dxa"/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5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.0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1.45</w:t>
            </w:r>
          </w:p>
        </w:tc>
      </w:tr>
      <w:tr w:rsidR="00AA3F15" w:rsidRPr="00EE5C36" w:rsidTr="00762127">
        <w:tc>
          <w:tcPr>
            <w:tcW w:w="466" w:type="dxa"/>
            <w:vMerge/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EE5C3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ADH + 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1.6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0.4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0.0006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0.00015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1.0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12.7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3.3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0.2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0.06</w:t>
            </w:r>
          </w:p>
        </w:tc>
        <w:tc>
          <w:tcPr>
            <w:tcW w:w="1276" w:type="dxa"/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3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.0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0.87</w:t>
            </w:r>
          </w:p>
        </w:tc>
      </w:tr>
      <w:tr w:rsidR="00AA3F15" w:rsidRPr="00EE5C36" w:rsidTr="00762127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EE5C3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LDH + Red + Luc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31.7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7.9</w:t>
            </w:r>
          </w:p>
        </w:tc>
        <w:tc>
          <w:tcPr>
            <w:tcW w:w="156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0.0007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.00014</w:t>
            </w: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7.7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1.8</w:t>
            </w:r>
          </w:p>
        </w:tc>
        <w:tc>
          <w:tcPr>
            <w:tcW w:w="11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11.5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2.7</w:t>
            </w: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A3F15" w:rsidRPr="00AD6D94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6.5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1.5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1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.0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 xml:space="preserve"> 0.32</w:t>
            </w:r>
          </w:p>
        </w:tc>
      </w:tr>
      <w:tr w:rsidR="00AA3F15" w:rsidRPr="00EE5C36" w:rsidTr="00762127">
        <w:tc>
          <w:tcPr>
            <w:tcW w:w="1362" w:type="dxa"/>
            <w:gridSpan w:val="2"/>
            <w:tcBorders>
              <w:top w:val="doub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EE5C3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EE5C36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–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*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*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–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A3F15" w:rsidRPr="00EE5C36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*</w:t>
            </w:r>
          </w:p>
        </w:tc>
      </w:tr>
      <w:tr w:rsidR="00BE2951" w:rsidRPr="00062A90" w:rsidTr="00762127">
        <w:tc>
          <w:tcPr>
            <w:tcW w:w="2869" w:type="dxa"/>
            <w:gridSpan w:val="3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 w:rsidR="00BE2951"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0.02-0.1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0.01-0.3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0.01-2.0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</w:tr>
    </w:tbl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Pr="00BE2951" w:rsidRDefault="00BE2951">
      <w:pP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Table 1 Continued</w:t>
      </w: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.</w:t>
      </w:r>
    </w:p>
    <w:tbl>
      <w:tblPr>
        <w:tblStyle w:val="a6"/>
        <w:tblW w:w="860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6"/>
        <w:gridCol w:w="896"/>
        <w:gridCol w:w="1507"/>
        <w:gridCol w:w="1061"/>
        <w:gridCol w:w="1560"/>
        <w:gridCol w:w="1701"/>
        <w:gridCol w:w="1417"/>
      </w:tblGrid>
      <w:tr w:rsidR="00DA3A00" w:rsidRPr="00062A90" w:rsidTr="00762127">
        <w:trPr>
          <w:trHeight w:val="126"/>
        </w:trPr>
        <w:tc>
          <w:tcPr>
            <w:tcW w:w="2869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5739" w:type="dxa"/>
            <w:gridSpan w:val="4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Imidacloprid</w:t>
            </w:r>
          </w:p>
        </w:tc>
      </w:tr>
      <w:tr w:rsidR="00DA3A00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 w:val="restart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</w:tc>
        <w:tc>
          <w:tcPr>
            <w:tcW w:w="4678" w:type="dxa"/>
            <w:gridSpan w:val="3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</w:tc>
      </w:tr>
      <w:tr w:rsidR="00DA3A00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Biotlin</w:t>
            </w:r>
          </w:p>
        </w:tc>
        <w:tc>
          <w:tcPr>
            <w:tcW w:w="1701" w:type="dxa"/>
            <w:vAlign w:val="center"/>
          </w:tcPr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Corado</w:t>
            </w:r>
          </w:p>
        </w:tc>
        <w:tc>
          <w:tcPr>
            <w:tcW w:w="1417" w:type="dxa"/>
            <w:vAlign w:val="center"/>
          </w:tcPr>
          <w:p w:rsidR="00DA3A00" w:rsidRPr="00762127" w:rsidRDefault="00DA3A00" w:rsidP="00B41F30">
            <w:pPr>
              <w:pStyle w:val="MDPI42tablebody"/>
              <w:rPr>
                <w:rStyle w:val="a5"/>
                <w:rFonts w:cs="Arial"/>
                <w:b/>
                <w:color w:val="auto"/>
                <w:sz w:val="18"/>
                <w:szCs w:val="18"/>
                <w:lang w:eastAsia="ko-KR"/>
              </w:rPr>
            </w:pPr>
            <w:r w:rsidRPr="00762127">
              <w:rPr>
                <w:rStyle w:val="a5"/>
                <w:rFonts w:cs="Arial"/>
                <w:b/>
                <w:color w:val="auto"/>
                <w:sz w:val="18"/>
                <w:szCs w:val="18"/>
                <w:lang w:eastAsia="ko-KR"/>
              </w:rPr>
              <w:t>Confidor</w:t>
            </w:r>
          </w:p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Extra</w:t>
            </w:r>
          </w:p>
        </w:tc>
      </w:tr>
      <w:tr w:rsidR="00DA3A00" w:rsidRPr="00062A90" w:rsidTr="00762127">
        <w:tc>
          <w:tcPr>
            <w:tcW w:w="466" w:type="dxa"/>
            <w:vMerge w:val="restart"/>
            <w:textDirection w:val="btLr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896" w:type="dxa"/>
            <w:vMerge w:val="restart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701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–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701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64</w:t>
            </w:r>
          </w:p>
        </w:tc>
        <w:tc>
          <w:tcPr>
            <w:tcW w:w="1701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7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80000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20800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701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180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52.2</w:t>
            </w:r>
          </w:p>
        </w:tc>
        <w:tc>
          <w:tcPr>
            <w:tcW w:w="1417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0.22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0.17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0.08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0.017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49.9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15.5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 w:val="restart"/>
            <w:tcBorders>
              <w:top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Multi-Enzyme Assay Systems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0.09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0.0018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14.9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3.7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0.003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0.00057</w:t>
            </w:r>
          </w:p>
        </w:tc>
        <w:tc>
          <w:tcPr>
            <w:tcW w:w="1701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0.07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0.0175</w:t>
            </w:r>
          </w:p>
        </w:tc>
        <w:tc>
          <w:tcPr>
            <w:tcW w:w="1417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34.4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9.3</w:t>
            </w:r>
          </w:p>
        </w:tc>
      </w:tr>
      <w:tr w:rsidR="00DA3A00" w:rsidRPr="00062A90" w:rsidTr="00762127">
        <w:tc>
          <w:tcPr>
            <w:tcW w:w="46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 + 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0.006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0.00132</w:t>
            </w:r>
          </w:p>
        </w:tc>
        <w:tc>
          <w:tcPr>
            <w:tcW w:w="1701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0.04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0.012</w:t>
            </w:r>
          </w:p>
        </w:tc>
        <w:tc>
          <w:tcPr>
            <w:tcW w:w="1417" w:type="dxa"/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47.8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13.4</w:t>
            </w:r>
          </w:p>
        </w:tc>
      </w:tr>
      <w:tr w:rsidR="00DA3A00" w:rsidRPr="00062A90" w:rsidTr="00762127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 + Red + Luc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0.01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0.003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0.04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0.008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1.9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0.48</w:t>
            </w:r>
          </w:p>
        </w:tc>
      </w:tr>
      <w:tr w:rsidR="00DA3A00" w:rsidRPr="00062A90" w:rsidTr="00762127">
        <w:tc>
          <w:tcPr>
            <w:tcW w:w="1362" w:type="dxa"/>
            <w:gridSpan w:val="2"/>
            <w:tcBorders>
              <w:top w:val="doub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2000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620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500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150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A3A00" w:rsidRPr="00AD6D94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110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33</w:t>
            </w:r>
          </w:p>
        </w:tc>
      </w:tr>
      <w:tr w:rsidR="00AA3F15" w:rsidRPr="00062A90" w:rsidTr="00762127">
        <w:tc>
          <w:tcPr>
            <w:tcW w:w="2869" w:type="dxa"/>
            <w:gridSpan w:val="3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B41F30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 w:rsidR="00BE2951"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0.1-1.0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3F15" w:rsidRPr="00062A90" w:rsidRDefault="00AA3F15" w:rsidP="00B41F30">
            <w:pPr>
              <w:pStyle w:val="a3"/>
              <w:spacing w:line="240" w:lineRule="auto"/>
              <w:ind w:firstLine="0"/>
              <w:jc w:val="left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</w:tbl>
    <w:p w:rsidR="00DA3A00" w:rsidRDefault="00DA3A00"/>
    <w:p w:rsidR="00AA3F15" w:rsidRDefault="00AA3F15"/>
    <w:p w:rsidR="00AA3F15" w:rsidRDefault="00AA3F15"/>
    <w:p w:rsidR="00AA3F15" w:rsidRDefault="00AA3F15"/>
    <w:p w:rsidR="00AA3F15" w:rsidRPr="00BE2951" w:rsidRDefault="00BE2951">
      <w:pP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lastRenderedPageBreak/>
        <w:t>Table 1 Continued</w:t>
      </w: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.</w:t>
      </w:r>
    </w:p>
    <w:tbl>
      <w:tblPr>
        <w:tblStyle w:val="a6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6"/>
        <w:gridCol w:w="918"/>
        <w:gridCol w:w="1507"/>
        <w:gridCol w:w="979"/>
        <w:gridCol w:w="1234"/>
        <w:gridCol w:w="1134"/>
        <w:gridCol w:w="1417"/>
        <w:gridCol w:w="1134"/>
        <w:gridCol w:w="1418"/>
        <w:gridCol w:w="992"/>
      </w:tblGrid>
      <w:tr w:rsidR="00AD6D94" w:rsidRPr="00062A90" w:rsidTr="00762127">
        <w:trPr>
          <w:trHeight w:val="126"/>
        </w:trPr>
        <w:tc>
          <w:tcPr>
            <w:tcW w:w="2891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221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Malathion</w:t>
            </w:r>
          </w:p>
        </w:tc>
        <w:tc>
          <w:tcPr>
            <w:tcW w:w="255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Diazinon</w:t>
            </w: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Glyphosate</w:t>
            </w:r>
          </w:p>
        </w:tc>
      </w:tr>
      <w:tr w:rsidR="00AA3F15" w:rsidRPr="00062A90" w:rsidTr="00762127">
        <w:trPr>
          <w:trHeight w:val="312"/>
        </w:trPr>
        <w:tc>
          <w:tcPr>
            <w:tcW w:w="289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234" w:type="dxa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Aliot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Muravyed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Liquidator</w:t>
            </w:r>
          </w:p>
        </w:tc>
        <w:tc>
          <w:tcPr>
            <w:tcW w:w="992" w:type="dxa"/>
            <w:vMerge w:val="restart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Tornado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Extra</w:t>
            </w:r>
          </w:p>
        </w:tc>
      </w:tr>
      <w:tr w:rsidR="00AA3F15" w:rsidRPr="00062A90" w:rsidTr="00762127">
        <w:trPr>
          <w:trHeight w:val="312"/>
        </w:trPr>
        <w:tc>
          <w:tcPr>
            <w:tcW w:w="289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79" w:type="dxa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AA3F15" w:rsidRPr="00062A90" w:rsidTr="00762127">
        <w:tc>
          <w:tcPr>
            <w:tcW w:w="466" w:type="dxa"/>
            <w:vMerge w:val="restart"/>
            <w:textDirection w:val="btLr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918" w:type="dxa"/>
            <w:vMerge w:val="restart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962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318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5400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1890</w:t>
            </w:r>
          </w:p>
        </w:tc>
        <w:tc>
          <w:tcPr>
            <w:tcW w:w="992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2400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672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1080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324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600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162</w:t>
            </w:r>
          </w:p>
        </w:tc>
        <w:tc>
          <w:tcPr>
            <w:tcW w:w="992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220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59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600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162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4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.0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0.96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20</w:t>
            </w:r>
            <w:r w:rsidR="00EE5C36">
              <w:rPr>
                <w:rFonts w:ascii="Palatino Linotype" w:hAnsi="Palatino Linotype" w:cs="Arial"/>
                <w:sz w:val="18"/>
                <w:szCs w:val="18"/>
                <w:lang w:val="en-US"/>
              </w:rPr>
              <w:t>.0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5.4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35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.0</w:t>
            </w:r>
            <w:bookmarkStart w:id="0" w:name="_GoBack"/>
            <w:bookmarkEnd w:id="0"/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9.5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1000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260</w:t>
            </w:r>
          </w:p>
        </w:tc>
        <w:tc>
          <w:tcPr>
            <w:tcW w:w="992" w:type="dxa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2.4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0.6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350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102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30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8.7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0.05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0.011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6000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1560</w:t>
            </w:r>
          </w:p>
        </w:tc>
        <w:tc>
          <w:tcPr>
            <w:tcW w:w="992" w:type="dxa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52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13.5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tcBorders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979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14.5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3.77</w:t>
            </w:r>
          </w:p>
        </w:tc>
        <w:tc>
          <w:tcPr>
            <w:tcW w:w="141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0.2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0.06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5140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1799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1.5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2.1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0.61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 w:val="restart"/>
            <w:tcBorders>
              <w:top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Multi-Enzyme Assay Systems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97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9.0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2.6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5.0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1.45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 + Luc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0.1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0.03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2234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670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0.009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0.0018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288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72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1.11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0.38</w:t>
            </w:r>
          </w:p>
        </w:tc>
        <w:tc>
          <w:tcPr>
            <w:tcW w:w="992" w:type="dxa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1.8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0.48</w:t>
            </w:r>
          </w:p>
        </w:tc>
      </w:tr>
      <w:tr w:rsidR="00AA3F15" w:rsidRPr="00062A90" w:rsidTr="00762127">
        <w:tc>
          <w:tcPr>
            <w:tcW w:w="466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 + Red + Luc</w:t>
            </w:r>
          </w:p>
        </w:tc>
        <w:tc>
          <w:tcPr>
            <w:tcW w:w="979" w:type="dxa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0.05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0.01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EE5C36" w:rsidRDefault="00AD6D94" w:rsidP="00EE5C36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11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E5C36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3.0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0.01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0.0029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3200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1056</w:t>
            </w:r>
          </w:p>
        </w:tc>
        <w:tc>
          <w:tcPr>
            <w:tcW w:w="1418" w:type="dxa"/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1.4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0.46</w:t>
            </w:r>
          </w:p>
        </w:tc>
        <w:tc>
          <w:tcPr>
            <w:tcW w:w="992" w:type="dxa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2.0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0.64</w:t>
            </w:r>
          </w:p>
        </w:tc>
      </w:tr>
      <w:tr w:rsidR="00AA3F15" w:rsidRPr="00062A90" w:rsidTr="00762127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tcBorders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 + Red + Luc</w:t>
            </w:r>
          </w:p>
        </w:tc>
        <w:tc>
          <w:tcPr>
            <w:tcW w:w="979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0.014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0.003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AD6D94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3351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1105</w:t>
            </w:r>
          </w:p>
        </w:tc>
        <w:tc>
          <w:tcPr>
            <w:tcW w:w="141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0.005</w:t>
            </w:r>
            <w:r w:rsidR="00D23BD3"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0.0014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D6D94" w:rsidRPr="00D23BD3" w:rsidRDefault="00AD6D94" w:rsidP="00B41F30">
            <w:pPr>
              <w:pStyle w:val="a3"/>
              <w:spacing w:line="240" w:lineRule="auto"/>
              <w:ind w:firstLine="0"/>
              <w:jc w:val="center"/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935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D23BD3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318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1.1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0.3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3.3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1.16</w:t>
            </w:r>
          </w:p>
        </w:tc>
      </w:tr>
      <w:tr w:rsidR="00AA3F15" w:rsidRPr="00062A90" w:rsidTr="00762127">
        <w:tc>
          <w:tcPr>
            <w:tcW w:w="1384" w:type="dxa"/>
            <w:gridSpan w:val="2"/>
            <w:tcBorders>
              <w:top w:val="double" w:sz="4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97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23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–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400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140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AD6D94" w:rsidRPr="00ED1551" w:rsidRDefault="00AD6D94" w:rsidP="00B41F30">
            <w:pPr>
              <w:pStyle w:val="a3"/>
              <w:spacing w:line="240" w:lineRule="auto"/>
              <w:ind w:firstLine="0"/>
              <w:jc w:val="center"/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400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val="en-US" w:eastAsia="ko-KR"/>
              </w:rPr>
              <w:t>±</w:t>
            </w:r>
            <w:r w:rsidR="00ED1551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 xml:space="preserve"> 152</w:t>
            </w:r>
          </w:p>
        </w:tc>
      </w:tr>
      <w:tr w:rsidR="00AD6D94" w:rsidRPr="00062A90" w:rsidTr="00762127">
        <w:tc>
          <w:tcPr>
            <w:tcW w:w="2891" w:type="dxa"/>
            <w:gridSpan w:val="3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 w:rsidR="00BE2951"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221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0.05-1.0</w:t>
            </w:r>
          </w:p>
        </w:tc>
        <w:tc>
          <w:tcPr>
            <w:tcW w:w="255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0.1-0.5</w:t>
            </w: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0.1-5.0</w:t>
            </w:r>
          </w:p>
        </w:tc>
      </w:tr>
    </w:tbl>
    <w:p w:rsidR="00AD6D94" w:rsidRDefault="00AD6D94"/>
    <w:p w:rsidR="00BE2951" w:rsidRPr="00762127" w:rsidRDefault="00BE2951" w:rsidP="00BE2951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«*» The parameter could not be determined because of physico-chemical properties of the </w:t>
      </w:r>
      <w:r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AIa and AIf or interaction of the AIa and AIf with the reaction mixture components.       </w:t>
      </w:r>
    </w:p>
    <w:p w:rsidR="00BE2951" w:rsidRPr="00BE2951" w:rsidRDefault="00BE2951" w:rsidP="00BE2951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«–» No inhibitory effect of the </w:t>
      </w:r>
      <w:r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AIa and AIf</w:t>
      </w: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 was detected in the tested concentration range. </w:t>
      </w:r>
    </w:p>
    <w:p w:rsidR="00BE2951" w:rsidRDefault="00BE2951" w:rsidP="00BE2951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«x» A stimulating effect of the active ingredient on parameters of assay systems was observed in the tested concentration range.</w:t>
      </w:r>
    </w:p>
    <w:p w:rsidR="00BE2951" w:rsidRPr="00BE2951" w:rsidRDefault="00BE2951" w:rsidP="00762127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[1] </w:t>
      </w:r>
      <w:r w:rsidR="00762127" w:rsidRPr="00762127">
        <w:rPr>
          <w:rFonts w:ascii="Palatino Linotype" w:eastAsia="SimSun" w:hAnsi="Palatino Linotype" w:cs="Times New Roman"/>
          <w:i/>
          <w:noProof/>
          <w:color w:val="000000"/>
          <w:sz w:val="18"/>
          <w:szCs w:val="20"/>
          <w:lang w:val="en-US" w:eastAsia="zh-CN"/>
        </w:rPr>
        <w:t>SanPiN 1.2.3685‐21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; Hygienic Standards and Requirements for Ensuring the Safety and (or</w:t>
      </w:r>
      <w:r w:rsid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) Harmlessness of Environmental 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Factors for Humans (for Russian Federation). 2021. Approved by the resolution of the Chief </w:t>
      </w:r>
      <w:r w:rsid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state sanitary physician of the 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Russian Federation of 28.01.2021 N 2. Russia, Moscow.</w:t>
      </w:r>
    </w:p>
    <w:sectPr w:rsidR="00BE2951" w:rsidRPr="00BE2951" w:rsidSect="00BE2951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174" w:rsidRDefault="00595174" w:rsidP="00AA3F15">
      <w:pPr>
        <w:spacing w:after="0" w:line="240" w:lineRule="auto"/>
      </w:pPr>
      <w:r>
        <w:separator/>
      </w:r>
    </w:p>
  </w:endnote>
  <w:endnote w:type="continuationSeparator" w:id="0">
    <w:p w:rsidR="00595174" w:rsidRDefault="00595174" w:rsidP="00A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Linotyp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174" w:rsidRDefault="00595174" w:rsidP="00AA3F15">
      <w:pPr>
        <w:spacing w:after="0" w:line="240" w:lineRule="auto"/>
      </w:pPr>
      <w:r>
        <w:separator/>
      </w:r>
    </w:p>
  </w:footnote>
  <w:footnote w:type="continuationSeparator" w:id="0">
    <w:p w:rsidR="00595174" w:rsidRDefault="00595174" w:rsidP="00AA3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1F"/>
    <w:rsid w:val="00023CE0"/>
    <w:rsid w:val="001C6174"/>
    <w:rsid w:val="00595174"/>
    <w:rsid w:val="00762127"/>
    <w:rsid w:val="008D1082"/>
    <w:rsid w:val="00AA3F15"/>
    <w:rsid w:val="00AC358C"/>
    <w:rsid w:val="00AD6D94"/>
    <w:rsid w:val="00BE2951"/>
    <w:rsid w:val="00C752A4"/>
    <w:rsid w:val="00D23BD3"/>
    <w:rsid w:val="00DA3A00"/>
    <w:rsid w:val="00ED1551"/>
    <w:rsid w:val="00EE5C36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D47"/>
  <w15:chartTrackingRefBased/>
  <w15:docId w15:val="{1CF901EC-E034-4DB5-9B0E-9B78A9BD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_текст"/>
    <w:basedOn w:val="a"/>
    <w:link w:val="a4"/>
    <w:qFormat/>
    <w:rsid w:val="00AD6D9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Обыч_текст Знак"/>
    <w:basedOn w:val="a0"/>
    <w:link w:val="a3"/>
    <w:rsid w:val="00AD6D94"/>
    <w:rPr>
      <w:rFonts w:ascii="Times New Roman" w:eastAsia="Calibri" w:hAnsi="Times New Roman" w:cs="Times New Roman"/>
      <w:sz w:val="28"/>
    </w:rPr>
  </w:style>
  <w:style w:type="character" w:styleId="a5">
    <w:name w:val="Strong"/>
    <w:aliases w:val="Табл_текст"/>
    <w:uiPriority w:val="99"/>
    <w:qFormat/>
    <w:rsid w:val="00AD6D94"/>
    <w:rPr>
      <w:rFonts w:ascii="Times New Roman" w:hAnsi="Times New Roman" w:cs="Times New Roman"/>
      <w:sz w:val="24"/>
    </w:rPr>
  </w:style>
  <w:style w:type="table" w:styleId="a6">
    <w:name w:val="Table Grid"/>
    <w:basedOn w:val="a1"/>
    <w:uiPriority w:val="59"/>
    <w:rsid w:val="00AD6D94"/>
    <w:pPr>
      <w:spacing w:after="0" w:line="240" w:lineRule="auto"/>
    </w:pPr>
    <w:rPr>
      <w:rFonts w:ascii="Calibri" w:eastAsia="Yu Mincho" w:hAnsi="Calibri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DPI42tablebody">
    <w:name w:val="MDPI_4.2_table_body"/>
    <w:qFormat/>
    <w:rsid w:val="00AD6D94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styleId="a7">
    <w:name w:val="header"/>
    <w:basedOn w:val="a"/>
    <w:link w:val="a8"/>
    <w:uiPriority w:val="99"/>
    <w:unhideWhenUsed/>
    <w:rsid w:val="00AA3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3F15"/>
  </w:style>
  <w:style w:type="paragraph" w:styleId="a9">
    <w:name w:val="footer"/>
    <w:basedOn w:val="a"/>
    <w:link w:val="aa"/>
    <w:uiPriority w:val="99"/>
    <w:unhideWhenUsed/>
    <w:rsid w:val="00AA3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EA0B-680E-465A-A4A1-6A845613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Пользователь</cp:lastModifiedBy>
  <cp:revision>2</cp:revision>
  <dcterms:created xsi:type="dcterms:W3CDTF">2025-06-06T06:25:00Z</dcterms:created>
  <dcterms:modified xsi:type="dcterms:W3CDTF">2025-06-06T06:25:00Z</dcterms:modified>
</cp:coreProperties>
</file>