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A9F3B" w14:textId="77777777" w:rsidR="00114183" w:rsidRDefault="00114183" w:rsidP="00114183">
      <w:pPr>
        <w:spacing w:after="240" w:line="240" w:lineRule="auto"/>
        <w:textAlignment w:val="baseline"/>
        <w:rPr>
          <w:rFonts w:ascii="Garamond" w:eastAsia="Times New Roman" w:hAnsi="Garamond" w:cs="Segoe UI"/>
          <w:b/>
          <w:bCs/>
        </w:rPr>
      </w:pPr>
      <w:r w:rsidRPr="00114183">
        <w:rPr>
          <w:rFonts w:ascii="Garamond" w:eastAsia="Times New Roman" w:hAnsi="Garamond" w:cs="Segoe UI"/>
          <w:b/>
          <w:bCs/>
        </w:rPr>
        <w:t>Licensed under CC BY-NC-ND 4.0. © 2025 Lisa Oliveira.</w:t>
      </w:r>
    </w:p>
    <w:p w14:paraId="3182E0AA" w14:textId="77777777" w:rsidR="00114183" w:rsidRDefault="00114183" w:rsidP="006B4879">
      <w:pPr>
        <w:spacing w:after="240" w:line="240" w:lineRule="auto"/>
        <w:textAlignment w:val="baseline"/>
        <w:rPr>
          <w:rFonts w:ascii="Garamond" w:eastAsia="Times New Roman" w:hAnsi="Garamond" w:cs="Calibri Light"/>
        </w:rPr>
      </w:pPr>
    </w:p>
    <w:p w14:paraId="54AEFEA9" w14:textId="5DA58241" w:rsidR="00917AB2" w:rsidRDefault="00917AB2" w:rsidP="006B4879">
      <w:pPr>
        <w:spacing w:after="240" w:line="240" w:lineRule="auto"/>
        <w:textAlignment w:val="baseline"/>
        <w:rPr>
          <w:rFonts w:ascii="Garamond" w:eastAsia="Times New Roman" w:hAnsi="Garamond" w:cs="Calibri Light"/>
        </w:rPr>
      </w:pPr>
      <w:r w:rsidRPr="00917AB2">
        <w:rPr>
          <w:rFonts w:ascii="Garamond" w:eastAsia="Times New Roman" w:hAnsi="Garamond" w:cs="Calibri Light"/>
        </w:rPr>
        <w:t>Case Analysis – ITT Skills LLC</w:t>
      </w:r>
    </w:p>
    <w:p w14:paraId="586C807F" w14:textId="5711507B" w:rsidR="00917AB2" w:rsidRPr="00917AB2" w:rsidRDefault="00917AB2" w:rsidP="006B4879">
      <w:pPr>
        <w:spacing w:after="240" w:line="240" w:lineRule="auto"/>
        <w:textAlignment w:val="baseline"/>
        <w:rPr>
          <w:rFonts w:ascii="Garamond" w:eastAsia="Times New Roman" w:hAnsi="Garamond" w:cs="Segoe UI"/>
          <w:color w:val="2F5496"/>
        </w:rPr>
      </w:pPr>
      <w:r w:rsidRPr="00917AB2">
        <w:rPr>
          <w:rFonts w:ascii="Garamond" w:eastAsia="Times New Roman" w:hAnsi="Garamond" w:cs="Calibri Light"/>
          <w:color w:val="2F5496"/>
        </w:rPr>
        <w:t>Current Situation </w:t>
      </w:r>
    </w:p>
    <w:p w14:paraId="388189A2" w14:textId="77777777" w:rsidR="00917AB2" w:rsidRPr="00917AB2" w:rsidRDefault="00917AB2" w:rsidP="006B4879">
      <w:pPr>
        <w:spacing w:after="240" w:line="240" w:lineRule="auto"/>
        <w:textAlignment w:val="baseline"/>
        <w:rPr>
          <w:rFonts w:ascii="Garamond" w:eastAsia="Times New Roman" w:hAnsi="Garamond" w:cs="Segoe UI"/>
        </w:rPr>
      </w:pPr>
      <w:r w:rsidRPr="00917AB2">
        <w:rPr>
          <w:rFonts w:ascii="Garamond" w:eastAsia="Times New Roman" w:hAnsi="Garamond"/>
        </w:rPr>
        <w:t>ITT Skills LLC, an IT Recruiting, Training, and Consulting Services, while headquartered in Nashua, NH, partners with Massachusetts Career Centers to provide training to those who lack technical skills required to enter the workforce. Massachusetts funds approved training programs under Section 30, ITT Skills LLC included. Beyond the United States, ITT Skills LLC admits students in India and the United Arab Emirates. Highlighting its upmost needs for data governance policies to protect customer personal identification data from unauthorized access.  </w:t>
      </w:r>
    </w:p>
    <w:p w14:paraId="5C89CFA9" w14:textId="77777777" w:rsidR="00917AB2" w:rsidRPr="00917AB2" w:rsidRDefault="00917AB2" w:rsidP="006B4879">
      <w:pPr>
        <w:spacing w:after="240" w:line="240" w:lineRule="auto"/>
        <w:textAlignment w:val="baseline"/>
        <w:rPr>
          <w:rFonts w:ascii="Garamond" w:eastAsia="Times New Roman" w:hAnsi="Garamond" w:cs="Segoe UI"/>
        </w:rPr>
      </w:pPr>
      <w:r w:rsidRPr="00917AB2">
        <w:rPr>
          <w:rFonts w:ascii="Garamond" w:eastAsia="Times New Roman" w:hAnsi="Garamond"/>
        </w:rPr>
        <w:t>The decision makers include the Founder of ITT Skills LLC, Compliance Officer / Training Coordinator, and the Lead Training Coordinator jointly control ITT Skills LLC’s data-handling decisions and facilitate live link access to class over zoom link. The task is to select a lawful method to collect and store Massachusetts Social Security numbers and copies of Government issued ID/licenses without exposing personal information (PI) through shared folders, static passwords, or unauthenticated links. The issue surfaced after the provider’s current storage exposed personal information through unencrypted transmission and open OneDrive links, triggering student complaints, contract questions, and statutory risk under 201 CMR 17.00. A decision is required before Monday Monday Morning’s class session because ITT Skills LLC’s Lead Training Coordinator withheld the access link pending resolution, and students cannot transmit regulated data into a system that fails to meet state requirements. </w:t>
      </w:r>
    </w:p>
    <w:p w14:paraId="2DF06EFF" w14:textId="77777777" w:rsidR="00917AB2" w:rsidRPr="00917AB2" w:rsidRDefault="00917AB2" w:rsidP="006B4879">
      <w:pPr>
        <w:spacing w:after="240" w:line="240" w:lineRule="auto"/>
        <w:textAlignment w:val="baseline"/>
        <w:rPr>
          <w:rFonts w:ascii="Garamond" w:eastAsia="Times New Roman" w:hAnsi="Garamond" w:cs="Segoe UI"/>
        </w:rPr>
      </w:pPr>
      <w:r w:rsidRPr="00917AB2">
        <w:rPr>
          <w:rFonts w:ascii="Garamond" w:eastAsia="Times New Roman" w:hAnsi="Garamond"/>
          <w:color w:val="000000"/>
        </w:rPr>
        <w:t> </w:t>
      </w:r>
    </w:p>
    <w:p w14:paraId="7BDEF5FD" w14:textId="77777777" w:rsidR="00917AB2" w:rsidRPr="00917AB2" w:rsidRDefault="00917AB2" w:rsidP="006B4879">
      <w:pPr>
        <w:spacing w:after="240" w:line="240" w:lineRule="auto"/>
        <w:textAlignment w:val="baseline"/>
        <w:rPr>
          <w:rFonts w:ascii="Garamond" w:eastAsia="Times New Roman" w:hAnsi="Garamond" w:cs="Segoe UI"/>
          <w:color w:val="2F5496"/>
        </w:rPr>
      </w:pPr>
      <w:r w:rsidRPr="00917AB2">
        <w:rPr>
          <w:rFonts w:ascii="Garamond" w:eastAsia="Times New Roman" w:hAnsi="Garamond" w:cs="Calibri Light"/>
          <w:color w:val="2F5496"/>
        </w:rPr>
        <w:t>Step 2. In Depth Analysis </w:t>
      </w:r>
    </w:p>
    <w:p w14:paraId="338FE472" w14:textId="77777777" w:rsidR="00917AB2" w:rsidRPr="00917AB2" w:rsidRDefault="00917AB2" w:rsidP="006B4879">
      <w:pPr>
        <w:spacing w:after="240" w:line="240" w:lineRule="auto"/>
        <w:textAlignment w:val="baseline"/>
        <w:rPr>
          <w:rFonts w:ascii="Garamond" w:eastAsia="Times New Roman" w:hAnsi="Garamond" w:cs="Segoe UI"/>
        </w:rPr>
      </w:pPr>
      <w:r w:rsidRPr="00917AB2">
        <w:rPr>
          <w:rFonts w:ascii="Garamond" w:eastAsia="Times New Roman" w:hAnsi="Garamond"/>
        </w:rPr>
        <w:t>The business problem concerns selecting a compliant method to collect and store Social Security numbers and license images for Massachusetts residents. The provider currently uses unencrypted transmission paths, unauthenticated OneDrive links, and a generic static password created for one student. Other Massachusetts residents remain exposed to the same weaknesses. </w:t>
      </w:r>
    </w:p>
    <w:p w14:paraId="323BB4B8" w14:textId="77777777" w:rsidR="00917AB2" w:rsidRPr="00917AB2" w:rsidRDefault="00917AB2" w:rsidP="006B4879">
      <w:pPr>
        <w:spacing w:after="240" w:line="240" w:lineRule="auto"/>
        <w:textAlignment w:val="baseline"/>
        <w:rPr>
          <w:rFonts w:ascii="Garamond" w:eastAsia="Times New Roman" w:hAnsi="Garamond" w:cs="Segoe UI"/>
        </w:rPr>
      </w:pPr>
      <w:r w:rsidRPr="00917AB2">
        <w:rPr>
          <w:rFonts w:ascii="Garamond" w:eastAsia="Times New Roman" w:hAnsi="Garamond"/>
        </w:rPr>
        <w:t>The problem matters because exposure of regulated identifiers creates breach liability under 201 CMR 17.00, damages consumer trust, and disrupts service delivery. Students cannot transmit regulated identifiers into a system that fails statutory data-protection requirements. </w:t>
      </w:r>
    </w:p>
    <w:p w14:paraId="3790BF60" w14:textId="77777777" w:rsidR="00917AB2" w:rsidRPr="00917AB2" w:rsidRDefault="00917AB2" w:rsidP="006B4879">
      <w:pPr>
        <w:spacing w:after="240" w:line="240" w:lineRule="auto"/>
        <w:textAlignment w:val="baseline"/>
        <w:rPr>
          <w:rFonts w:ascii="Garamond" w:eastAsia="Times New Roman" w:hAnsi="Garamond" w:cs="Segoe UI"/>
        </w:rPr>
      </w:pPr>
      <w:r w:rsidRPr="00917AB2">
        <w:rPr>
          <w:rFonts w:ascii="Garamond" w:eastAsia="Times New Roman" w:hAnsi="Garamond"/>
        </w:rPr>
        <w:t>The current IT setup contributes to the problem through unauthenticated sharing, absence of encryption controls, and dependence on a single shared password pattern. No role-based access, logging, or secure upload workflow exists. </w:t>
      </w:r>
    </w:p>
    <w:p w14:paraId="470A991F" w14:textId="77777777" w:rsidR="00917AB2" w:rsidRPr="00917AB2" w:rsidRDefault="00917AB2" w:rsidP="006B4879">
      <w:pPr>
        <w:spacing w:after="240" w:line="240" w:lineRule="auto"/>
        <w:textAlignment w:val="baseline"/>
        <w:rPr>
          <w:rFonts w:ascii="Garamond" w:eastAsia="Times New Roman" w:hAnsi="Garamond" w:cs="Segoe UI"/>
        </w:rPr>
      </w:pPr>
      <w:r w:rsidRPr="00917AB2">
        <w:rPr>
          <w:rFonts w:ascii="Garamond" w:eastAsia="Times New Roman" w:hAnsi="Garamond"/>
        </w:rPr>
        <w:t>Organizational practices reinforce these weaknesses. The storage workflow lacks defined ownership, risk assessment, and training. Cultural reliance on ad-hoc file sharing discourages adoption of formal controls. </w:t>
      </w:r>
    </w:p>
    <w:p w14:paraId="7CA10C88" w14:textId="77777777" w:rsidR="00917AB2" w:rsidRPr="00917AB2" w:rsidRDefault="00917AB2" w:rsidP="006B4879">
      <w:pPr>
        <w:spacing w:after="240" w:line="240" w:lineRule="auto"/>
        <w:textAlignment w:val="baseline"/>
        <w:rPr>
          <w:rFonts w:ascii="Garamond" w:eastAsia="Times New Roman" w:hAnsi="Garamond" w:cs="Segoe UI"/>
        </w:rPr>
      </w:pPr>
      <w:r w:rsidRPr="00917AB2">
        <w:rPr>
          <w:rFonts w:ascii="Garamond" w:eastAsia="Times New Roman" w:hAnsi="Garamond"/>
        </w:rPr>
        <w:lastRenderedPageBreak/>
        <w:t>The situation developed through incremental use of consumer cloud tools, absence of technical governance, and no documented data-handling standards. A generic data-security policy was shared with students, but it did not describe technical safeguards, access controls, or secure transmission practices. The password convention used for students’ PI was neither sensitive to user context nor aligned with established security guidance. </w:t>
      </w:r>
    </w:p>
    <w:p w14:paraId="496AA82E" w14:textId="77777777" w:rsidR="00917AB2" w:rsidRPr="00917AB2" w:rsidRDefault="00917AB2" w:rsidP="006B4879">
      <w:pPr>
        <w:spacing w:after="240" w:line="240" w:lineRule="auto"/>
        <w:textAlignment w:val="baseline"/>
        <w:rPr>
          <w:rFonts w:ascii="Garamond" w:eastAsia="Times New Roman" w:hAnsi="Garamond" w:cs="Segoe UI"/>
        </w:rPr>
      </w:pPr>
      <w:r w:rsidRPr="00917AB2">
        <w:rPr>
          <w:rFonts w:ascii="Garamond" w:eastAsia="Times New Roman" w:hAnsi="Garamond"/>
        </w:rPr>
        <w:t>Ethical considerations include duties to prevent foreseeable harm, maintain confidentiality of regulated identifiers, disclose risks accurately, and adopt safeguards proportionate to the sensitivity of collected data. Handling regulated identifiers without appropriate controls raises ethical questions about consent, transparency, and professional diligence. </w:t>
      </w:r>
    </w:p>
    <w:p w14:paraId="67771187" w14:textId="77777777" w:rsidR="00917AB2" w:rsidRPr="006B4879" w:rsidRDefault="00917AB2" w:rsidP="006B4879">
      <w:pPr>
        <w:spacing w:after="240" w:line="240" w:lineRule="auto"/>
        <w:textAlignment w:val="baseline"/>
        <w:rPr>
          <w:rFonts w:ascii="Garamond" w:eastAsia="Times New Roman" w:hAnsi="Garamond" w:cs="Calibri Light"/>
          <w:color w:val="2F5496"/>
        </w:rPr>
      </w:pPr>
    </w:p>
    <w:p w14:paraId="195C2B80" w14:textId="2FEEB02C" w:rsidR="00917AB2" w:rsidRPr="00917AB2" w:rsidRDefault="00917AB2" w:rsidP="006B4879">
      <w:pPr>
        <w:spacing w:after="240" w:line="240" w:lineRule="auto"/>
        <w:textAlignment w:val="baseline"/>
        <w:rPr>
          <w:rFonts w:ascii="Garamond" w:eastAsia="Times New Roman" w:hAnsi="Garamond" w:cs="Segoe UI"/>
          <w:color w:val="2F5496"/>
        </w:rPr>
      </w:pPr>
      <w:r w:rsidRPr="00917AB2">
        <w:rPr>
          <w:rFonts w:ascii="Garamond" w:eastAsia="Times New Roman" w:hAnsi="Garamond" w:cs="Calibri Light"/>
          <w:color w:val="2F5496"/>
        </w:rPr>
        <w:t>Criteria </w:t>
      </w:r>
      <w:r w:rsidRPr="00917AB2">
        <w:rPr>
          <w:rFonts w:ascii="Garamond" w:eastAsia="Times New Roman" w:hAnsi="Garamond"/>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6546"/>
        <w:gridCol w:w="4540"/>
      </w:tblGrid>
      <w:tr w:rsidR="006B4879" w:rsidRPr="006B4879" w14:paraId="50D59F4E" w14:textId="77777777" w:rsidTr="005C6BF1">
        <w:trPr>
          <w:trHeight w:val="360"/>
          <w:tblHeader/>
          <w:tblCellSpacing w:w="15" w:type="dxa"/>
        </w:trPr>
        <w:tc>
          <w:tcPr>
            <w:tcW w:w="0" w:type="auto"/>
            <w:vAlign w:val="center"/>
            <w:hideMark/>
          </w:tcPr>
          <w:p w14:paraId="57730F9B" w14:textId="77777777" w:rsidR="006B4879" w:rsidRPr="006B4879" w:rsidRDefault="006B4879" w:rsidP="006B4879">
            <w:pPr>
              <w:spacing w:after="240" w:line="240" w:lineRule="auto"/>
              <w:jc w:val="center"/>
              <w:rPr>
                <w:rFonts w:ascii="Garamond" w:eastAsia="Times New Roman" w:hAnsi="Garamond" w:cs="Times New Roman"/>
                <w:b/>
                <w:bCs/>
              </w:rPr>
            </w:pPr>
            <w:r w:rsidRPr="006B4879">
              <w:rPr>
                <w:rFonts w:ascii="Garamond" w:eastAsia="Times New Roman" w:hAnsi="Garamond" w:cs="Times New Roman"/>
                <w:b/>
                <w:bCs/>
              </w:rPr>
              <w:t>Criteria</w:t>
            </w:r>
          </w:p>
        </w:tc>
        <w:tc>
          <w:tcPr>
            <w:tcW w:w="0" w:type="auto"/>
            <w:vAlign w:val="center"/>
            <w:hideMark/>
          </w:tcPr>
          <w:p w14:paraId="742A93CF" w14:textId="77777777" w:rsidR="006B4879" w:rsidRPr="006B4879" w:rsidRDefault="006B4879" w:rsidP="006B4879">
            <w:pPr>
              <w:spacing w:after="240" w:line="240" w:lineRule="auto"/>
              <w:jc w:val="center"/>
              <w:rPr>
                <w:rFonts w:ascii="Garamond" w:eastAsia="Times New Roman" w:hAnsi="Garamond" w:cs="Times New Roman"/>
                <w:b/>
                <w:bCs/>
              </w:rPr>
            </w:pPr>
            <w:r w:rsidRPr="006B4879">
              <w:rPr>
                <w:rFonts w:ascii="Garamond" w:eastAsia="Times New Roman" w:hAnsi="Garamond" w:cs="Times New Roman"/>
                <w:b/>
                <w:bCs/>
              </w:rPr>
              <w:t>Meaning / Measurement</w:t>
            </w:r>
          </w:p>
        </w:tc>
        <w:tc>
          <w:tcPr>
            <w:tcW w:w="0" w:type="auto"/>
            <w:vAlign w:val="center"/>
            <w:hideMark/>
          </w:tcPr>
          <w:p w14:paraId="2075589F" w14:textId="77777777" w:rsidR="006B4879" w:rsidRPr="006B4879" w:rsidRDefault="006B4879" w:rsidP="006B4879">
            <w:pPr>
              <w:spacing w:after="240" w:line="240" w:lineRule="auto"/>
              <w:jc w:val="center"/>
              <w:rPr>
                <w:rFonts w:ascii="Garamond" w:eastAsia="Times New Roman" w:hAnsi="Garamond" w:cs="Times New Roman"/>
                <w:b/>
                <w:bCs/>
              </w:rPr>
            </w:pPr>
            <w:r w:rsidRPr="006B4879">
              <w:rPr>
                <w:rFonts w:ascii="Garamond" w:eastAsia="Times New Roman" w:hAnsi="Garamond" w:cs="Times New Roman"/>
                <w:b/>
                <w:bCs/>
              </w:rPr>
              <w:t>Why Selected?</w:t>
            </w:r>
          </w:p>
        </w:tc>
      </w:tr>
      <w:tr w:rsidR="006B4879" w:rsidRPr="006B4879" w14:paraId="57DACC6D" w14:textId="77777777">
        <w:trPr>
          <w:tblCellSpacing w:w="15" w:type="dxa"/>
        </w:trPr>
        <w:tc>
          <w:tcPr>
            <w:tcW w:w="0" w:type="auto"/>
            <w:vAlign w:val="center"/>
            <w:hideMark/>
          </w:tcPr>
          <w:p w14:paraId="2E4D617B"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b/>
                <w:bCs/>
              </w:rPr>
              <w:t>Regulatory compliance alignment</w:t>
            </w:r>
          </w:p>
        </w:tc>
        <w:tc>
          <w:tcPr>
            <w:tcW w:w="0" w:type="auto"/>
            <w:vAlign w:val="center"/>
            <w:hideMark/>
          </w:tcPr>
          <w:p w14:paraId="69A185F8"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Assessed by determining whether a solution satisfies 201 CMR 17.00 requirements for authentication, access control, transmission security, encryption, auditability, and vendor-contract obligations.</w:t>
            </w:r>
          </w:p>
        </w:tc>
        <w:tc>
          <w:tcPr>
            <w:tcW w:w="0" w:type="auto"/>
            <w:vAlign w:val="center"/>
            <w:hideMark/>
          </w:tcPr>
          <w:p w14:paraId="749D7693"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Governs lawful handling of regulated identifiers in Massachusetts; avoids statutory violations.</w:t>
            </w:r>
          </w:p>
        </w:tc>
      </w:tr>
      <w:tr w:rsidR="006B4879" w:rsidRPr="006B4879" w14:paraId="457CC376" w14:textId="77777777">
        <w:trPr>
          <w:tblCellSpacing w:w="15" w:type="dxa"/>
        </w:trPr>
        <w:tc>
          <w:tcPr>
            <w:tcW w:w="0" w:type="auto"/>
            <w:vAlign w:val="center"/>
            <w:hideMark/>
          </w:tcPr>
          <w:p w14:paraId="7FE16881"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b/>
                <w:bCs/>
              </w:rPr>
              <w:t>Security risk reduction</w:t>
            </w:r>
          </w:p>
        </w:tc>
        <w:tc>
          <w:tcPr>
            <w:tcW w:w="0" w:type="auto"/>
            <w:vAlign w:val="center"/>
            <w:hideMark/>
          </w:tcPr>
          <w:p w14:paraId="0573272F"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Measured through reduction of unauthorized access vectors, password-sharing exposure, link-based access risks, and monitoring gaps.</w:t>
            </w:r>
          </w:p>
        </w:tc>
        <w:tc>
          <w:tcPr>
            <w:tcW w:w="0" w:type="auto"/>
            <w:vAlign w:val="center"/>
            <w:hideMark/>
          </w:tcPr>
          <w:p w14:paraId="2DB2F564"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Addresses the central weakness in the current approach, which relied on unauthenticated links and a single shared password.</w:t>
            </w:r>
          </w:p>
        </w:tc>
      </w:tr>
      <w:tr w:rsidR="006B4879" w:rsidRPr="006B4879" w14:paraId="497503C2" w14:textId="77777777">
        <w:trPr>
          <w:tblCellSpacing w:w="15" w:type="dxa"/>
        </w:trPr>
        <w:tc>
          <w:tcPr>
            <w:tcW w:w="0" w:type="auto"/>
            <w:vAlign w:val="center"/>
            <w:hideMark/>
          </w:tcPr>
          <w:p w14:paraId="5E63604E"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b/>
                <w:bCs/>
              </w:rPr>
              <w:t>Operational feasibility</w:t>
            </w:r>
          </w:p>
        </w:tc>
        <w:tc>
          <w:tcPr>
            <w:tcW w:w="0" w:type="auto"/>
            <w:vAlign w:val="center"/>
            <w:hideMark/>
          </w:tcPr>
          <w:p w14:paraId="25727365"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Evaluated by cost, administrative effort, onboarding workflow, staff capability, and long-term maintainability.</w:t>
            </w:r>
          </w:p>
        </w:tc>
        <w:tc>
          <w:tcPr>
            <w:tcW w:w="0" w:type="auto"/>
            <w:vAlign w:val="center"/>
            <w:hideMark/>
          </w:tcPr>
          <w:p w14:paraId="32C1A21D"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Determines whether the recommended option is workable without workflow disruption.</w:t>
            </w:r>
          </w:p>
        </w:tc>
      </w:tr>
      <w:tr w:rsidR="006B4879" w:rsidRPr="006B4879" w14:paraId="729D49B6" w14:textId="77777777">
        <w:trPr>
          <w:tblCellSpacing w:w="15" w:type="dxa"/>
        </w:trPr>
        <w:tc>
          <w:tcPr>
            <w:tcW w:w="0" w:type="auto"/>
            <w:vAlign w:val="center"/>
            <w:hideMark/>
          </w:tcPr>
          <w:p w14:paraId="291DFF6C"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b/>
                <w:bCs/>
              </w:rPr>
              <w:t>Vendor assurance strength</w:t>
            </w:r>
          </w:p>
        </w:tc>
        <w:tc>
          <w:tcPr>
            <w:tcW w:w="0" w:type="auto"/>
            <w:vAlign w:val="center"/>
            <w:hideMark/>
          </w:tcPr>
          <w:p w14:paraId="7EDC92D2"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 xml:space="preserve">Measured through SOC reports, ISO certifications, </w:t>
            </w:r>
            <w:proofErr w:type="spellStart"/>
            <w:r w:rsidRPr="006B4879">
              <w:rPr>
                <w:rFonts w:ascii="Garamond" w:eastAsia="Times New Roman" w:hAnsi="Garamond" w:cs="Times New Roman"/>
              </w:rPr>
              <w:t>subprocessor</w:t>
            </w:r>
            <w:proofErr w:type="spellEnd"/>
            <w:r w:rsidRPr="006B4879">
              <w:rPr>
                <w:rFonts w:ascii="Garamond" w:eastAsia="Times New Roman" w:hAnsi="Garamond" w:cs="Times New Roman"/>
              </w:rPr>
              <w:t xml:space="preserve"> controls, and incident-response maturity.</w:t>
            </w:r>
          </w:p>
        </w:tc>
        <w:tc>
          <w:tcPr>
            <w:tcW w:w="0" w:type="auto"/>
            <w:vAlign w:val="center"/>
            <w:hideMark/>
          </w:tcPr>
          <w:p w14:paraId="6EF97228"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Required under 201 CMR 17.03(2)(f) for verifying third-party safeguards.</w:t>
            </w:r>
          </w:p>
        </w:tc>
      </w:tr>
    </w:tbl>
    <w:p w14:paraId="1E802AF8" w14:textId="77777777" w:rsidR="006B4879" w:rsidRPr="006B4879" w:rsidRDefault="006B4879" w:rsidP="006B4879">
      <w:pPr>
        <w:spacing w:after="240" w:line="240" w:lineRule="auto"/>
        <w:textAlignment w:val="baseline"/>
        <w:rPr>
          <w:rFonts w:ascii="Garamond" w:eastAsia="Times New Roman" w:hAnsi="Garamond" w:cs="Calibri Light"/>
          <w:color w:val="2F5496"/>
        </w:rPr>
      </w:pPr>
    </w:p>
    <w:p w14:paraId="21AF2A13" w14:textId="77777777" w:rsidR="006B4879" w:rsidRDefault="006B4879">
      <w:pPr>
        <w:rPr>
          <w:rFonts w:ascii="Garamond" w:eastAsia="Times New Roman" w:hAnsi="Garamond" w:cs="Calibri Light"/>
          <w:color w:val="2F5496"/>
        </w:rPr>
      </w:pPr>
      <w:r>
        <w:rPr>
          <w:rFonts w:ascii="Garamond" w:eastAsia="Times New Roman" w:hAnsi="Garamond" w:cs="Calibri Light"/>
          <w:color w:val="2F5496"/>
        </w:rPr>
        <w:br w:type="page"/>
      </w:r>
    </w:p>
    <w:p w14:paraId="3C1E50C7" w14:textId="44699613" w:rsidR="00917AB2" w:rsidRPr="00917AB2" w:rsidRDefault="00917AB2" w:rsidP="006B4879">
      <w:pPr>
        <w:spacing w:after="240" w:line="240" w:lineRule="auto"/>
        <w:textAlignment w:val="baseline"/>
        <w:rPr>
          <w:rFonts w:ascii="Garamond" w:eastAsia="Times New Roman" w:hAnsi="Garamond" w:cs="Segoe UI"/>
          <w:color w:val="2F5496"/>
        </w:rPr>
      </w:pPr>
      <w:r w:rsidRPr="00917AB2">
        <w:rPr>
          <w:rFonts w:ascii="Garamond" w:eastAsia="Times New Roman" w:hAnsi="Garamond" w:cs="Calibri Light"/>
          <w:color w:val="2F5496"/>
        </w:rPr>
        <w:lastRenderedPageBreak/>
        <w:t>Analysis of Alternatives </w:t>
      </w:r>
    </w:p>
    <w:p w14:paraId="142813D4" w14:textId="77777777" w:rsidR="00917AB2" w:rsidRPr="00917AB2" w:rsidRDefault="00917AB2" w:rsidP="006B4879">
      <w:pPr>
        <w:numPr>
          <w:ilvl w:val="0"/>
          <w:numId w:val="4"/>
        </w:numPr>
        <w:spacing w:after="240" w:line="240" w:lineRule="auto"/>
        <w:ind w:left="1080" w:firstLine="0"/>
        <w:textAlignment w:val="baseline"/>
        <w:rPr>
          <w:rFonts w:ascii="Garamond" w:eastAsia="Times New Roman" w:hAnsi="Garamond"/>
        </w:rPr>
      </w:pPr>
      <w:r w:rsidRPr="00917AB2">
        <w:rPr>
          <w:rFonts w:ascii="Garamond" w:eastAsia="Times New Roman" w:hAnsi="Garamond"/>
        </w:rPr>
        <w:t>Continue using shared-drive folders with static passwords </w:t>
      </w:r>
    </w:p>
    <w:p w14:paraId="608D65C9" w14:textId="6AB9C3AB" w:rsidR="00917AB2" w:rsidRPr="00917AB2" w:rsidRDefault="00917AB2" w:rsidP="006B4879">
      <w:pPr>
        <w:numPr>
          <w:ilvl w:val="0"/>
          <w:numId w:val="5"/>
        </w:numPr>
        <w:spacing w:after="240" w:line="240" w:lineRule="auto"/>
        <w:ind w:left="1080" w:firstLine="0"/>
        <w:textAlignment w:val="baseline"/>
        <w:rPr>
          <w:rFonts w:ascii="Garamond" w:eastAsia="Times New Roman" w:hAnsi="Garamond"/>
        </w:rPr>
      </w:pPr>
      <w:r w:rsidRPr="00917AB2">
        <w:rPr>
          <w:rFonts w:ascii="Garamond" w:eastAsia="Times New Roman" w:hAnsi="Garamond"/>
        </w:rPr>
        <w:t>Route regulated identifiers through </w:t>
      </w:r>
      <w:r w:rsidRPr="006B4879">
        <w:rPr>
          <w:rFonts w:ascii="Garamond" w:eastAsia="Times New Roman" w:hAnsi="Garamond"/>
        </w:rPr>
        <w:t xml:space="preserve">secure external </w:t>
      </w:r>
      <w:r w:rsidRPr="00917AB2">
        <w:rPr>
          <w:rFonts w:ascii="Garamond" w:eastAsia="Times New Roman" w:hAnsi="Garamond"/>
        </w:rPr>
        <w:t>channel </w:t>
      </w:r>
    </w:p>
    <w:p w14:paraId="5D6EDA18" w14:textId="3386C13F" w:rsidR="00917AB2" w:rsidRDefault="00917AB2" w:rsidP="006B4879">
      <w:pPr>
        <w:numPr>
          <w:ilvl w:val="0"/>
          <w:numId w:val="6"/>
        </w:numPr>
        <w:spacing w:after="240" w:line="240" w:lineRule="auto"/>
        <w:ind w:left="1080" w:firstLine="0"/>
        <w:textAlignment w:val="baseline"/>
        <w:rPr>
          <w:rFonts w:ascii="Garamond" w:eastAsia="Times New Roman" w:hAnsi="Garamond"/>
        </w:rPr>
      </w:pPr>
      <w:r w:rsidRPr="00917AB2">
        <w:rPr>
          <w:rFonts w:ascii="Garamond" w:eastAsia="Times New Roman" w:hAnsi="Garamond"/>
        </w:rPr>
        <w:t>Build a Salesforce intake workflow with identity-bound logins, MFA, encryption, and audit logs </w:t>
      </w:r>
    </w:p>
    <w:p w14:paraId="31939BBA" w14:textId="77777777" w:rsidR="006B4879" w:rsidRPr="00917AB2" w:rsidRDefault="006B4879" w:rsidP="006B4879">
      <w:pPr>
        <w:spacing w:after="240" w:line="240" w:lineRule="auto"/>
        <w:ind w:left="1080"/>
        <w:textAlignment w:val="baseline"/>
        <w:rPr>
          <w:rFonts w:ascii="Garamond" w:eastAsia="Times New Roman" w:hAnsi="Garamond"/>
        </w:rPr>
      </w:pPr>
    </w:p>
    <w:p w14:paraId="00B1A191" w14:textId="77777777" w:rsidR="00917AB2" w:rsidRPr="00917AB2" w:rsidRDefault="00917AB2" w:rsidP="006B4879">
      <w:pPr>
        <w:spacing w:after="240" w:line="240" w:lineRule="auto"/>
        <w:textAlignment w:val="baseline"/>
        <w:rPr>
          <w:rFonts w:ascii="Garamond" w:eastAsia="Times New Roman" w:hAnsi="Garamond" w:cs="Segoe UI"/>
          <w:color w:val="2F5496"/>
        </w:rPr>
      </w:pPr>
      <w:r w:rsidRPr="00917AB2">
        <w:rPr>
          <w:rFonts w:ascii="Garamond" w:eastAsia="Times New Roman" w:hAnsi="Garamond" w:cs="Calibri Light"/>
          <w:color w:val="2F5496"/>
        </w:rPr>
        <w:t>Additional Options to Consider </w:t>
      </w:r>
    </w:p>
    <w:p w14:paraId="398FD8CB" w14:textId="77777777" w:rsidR="00917AB2" w:rsidRPr="00917AB2" w:rsidRDefault="00917AB2" w:rsidP="006B4879">
      <w:pPr>
        <w:spacing w:after="240" w:line="240" w:lineRule="auto"/>
        <w:textAlignment w:val="baseline"/>
        <w:rPr>
          <w:rFonts w:ascii="Garamond" w:eastAsia="Times New Roman" w:hAnsi="Garamond" w:cs="Segoe UI"/>
        </w:rPr>
      </w:pPr>
      <w:r w:rsidRPr="00917AB2">
        <w:rPr>
          <w:rFonts w:ascii="Garamond" w:eastAsia="Times New Roman" w:hAnsi="Garamond" w:cs="Times New Roman"/>
        </w:rPr>
        <w:t>A secure student portal built through Salesforce Experience Cloud for encrypted intake without internal storage responsibilities. </w:t>
      </w:r>
    </w:p>
    <w:p w14:paraId="5E7CC886" w14:textId="77777777" w:rsidR="00917AB2" w:rsidRPr="00917AB2" w:rsidRDefault="00917AB2" w:rsidP="006B4879">
      <w:pPr>
        <w:spacing w:after="240" w:line="240" w:lineRule="auto"/>
        <w:textAlignment w:val="baseline"/>
        <w:rPr>
          <w:rFonts w:ascii="Garamond" w:eastAsia="Times New Roman" w:hAnsi="Garamond" w:cs="Segoe UI"/>
        </w:rPr>
      </w:pPr>
      <w:r w:rsidRPr="00917AB2">
        <w:rPr>
          <w:rFonts w:ascii="Garamond" w:eastAsia="Times New Roman" w:hAnsi="Garamond"/>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5670"/>
        <w:gridCol w:w="1170"/>
        <w:gridCol w:w="1440"/>
        <w:gridCol w:w="2250"/>
      </w:tblGrid>
      <w:tr w:rsidR="005C6BF1" w:rsidRPr="006B4879" w14:paraId="042E89E0" w14:textId="77777777" w:rsidTr="005C6BF1">
        <w:trPr>
          <w:tblHeader/>
          <w:tblCellSpacing w:w="15" w:type="dxa"/>
        </w:trPr>
        <w:tc>
          <w:tcPr>
            <w:tcW w:w="2385" w:type="dxa"/>
            <w:tcBorders>
              <w:bottom w:val="single" w:sz="4" w:space="0" w:color="auto"/>
            </w:tcBorders>
            <w:vAlign w:val="center"/>
            <w:hideMark/>
          </w:tcPr>
          <w:p w14:paraId="2BDC5419" w14:textId="77777777" w:rsidR="006B4879" w:rsidRPr="006B4879" w:rsidRDefault="006B4879" w:rsidP="006B4879">
            <w:pPr>
              <w:spacing w:after="240" w:line="240" w:lineRule="auto"/>
              <w:jc w:val="center"/>
              <w:rPr>
                <w:rFonts w:ascii="Garamond" w:eastAsia="Times New Roman" w:hAnsi="Garamond" w:cs="Times New Roman"/>
              </w:rPr>
            </w:pPr>
            <w:r w:rsidRPr="006B4879">
              <w:rPr>
                <w:rFonts w:ascii="Garamond" w:eastAsia="Times New Roman" w:hAnsi="Garamond" w:cs="Times New Roman"/>
              </w:rPr>
              <w:t>Options</w:t>
            </w:r>
          </w:p>
        </w:tc>
        <w:tc>
          <w:tcPr>
            <w:tcW w:w="5640" w:type="dxa"/>
            <w:tcBorders>
              <w:bottom w:val="single" w:sz="4" w:space="0" w:color="auto"/>
            </w:tcBorders>
            <w:vAlign w:val="center"/>
            <w:hideMark/>
          </w:tcPr>
          <w:p w14:paraId="3E9319C6" w14:textId="77777777" w:rsidR="006B4879" w:rsidRPr="006B4879" w:rsidRDefault="006B4879" w:rsidP="006B4879">
            <w:pPr>
              <w:spacing w:after="240" w:line="240" w:lineRule="auto"/>
              <w:jc w:val="center"/>
              <w:rPr>
                <w:rFonts w:ascii="Garamond" w:eastAsia="Times New Roman" w:hAnsi="Garamond" w:cs="Times New Roman"/>
              </w:rPr>
            </w:pPr>
            <w:r w:rsidRPr="006B4879">
              <w:rPr>
                <w:rFonts w:ascii="Garamond" w:eastAsia="Times New Roman" w:hAnsi="Garamond" w:cs="Times New Roman"/>
              </w:rPr>
              <w:t>Option Description</w:t>
            </w:r>
          </w:p>
        </w:tc>
        <w:tc>
          <w:tcPr>
            <w:tcW w:w="1140" w:type="dxa"/>
            <w:tcBorders>
              <w:bottom w:val="single" w:sz="4" w:space="0" w:color="auto"/>
            </w:tcBorders>
            <w:vAlign w:val="center"/>
            <w:hideMark/>
          </w:tcPr>
          <w:p w14:paraId="2C50A0D7" w14:textId="77777777" w:rsidR="006B4879" w:rsidRPr="006B4879" w:rsidRDefault="006B4879" w:rsidP="006B4879">
            <w:pPr>
              <w:spacing w:after="240" w:line="240" w:lineRule="auto"/>
              <w:jc w:val="center"/>
              <w:rPr>
                <w:rFonts w:ascii="Garamond" w:eastAsia="Times New Roman" w:hAnsi="Garamond" w:cs="Times New Roman"/>
              </w:rPr>
            </w:pPr>
            <w:r w:rsidRPr="006B4879">
              <w:rPr>
                <w:rFonts w:ascii="Garamond" w:eastAsia="Times New Roman" w:hAnsi="Garamond" w:cs="Times New Roman"/>
              </w:rPr>
              <w:t>Regulatory Compliance</w:t>
            </w:r>
          </w:p>
        </w:tc>
        <w:tc>
          <w:tcPr>
            <w:tcW w:w="1410" w:type="dxa"/>
            <w:tcBorders>
              <w:bottom w:val="single" w:sz="4" w:space="0" w:color="auto"/>
            </w:tcBorders>
            <w:vAlign w:val="center"/>
            <w:hideMark/>
          </w:tcPr>
          <w:p w14:paraId="2C371EC4" w14:textId="77777777" w:rsidR="006B4879" w:rsidRPr="006B4879" w:rsidRDefault="006B4879" w:rsidP="006B4879">
            <w:pPr>
              <w:spacing w:after="240" w:line="240" w:lineRule="auto"/>
              <w:jc w:val="center"/>
              <w:rPr>
                <w:rFonts w:ascii="Garamond" w:eastAsia="Times New Roman" w:hAnsi="Garamond" w:cs="Times New Roman"/>
              </w:rPr>
            </w:pPr>
            <w:r w:rsidRPr="006B4879">
              <w:rPr>
                <w:rFonts w:ascii="Garamond" w:eastAsia="Times New Roman" w:hAnsi="Garamond" w:cs="Times New Roman"/>
              </w:rPr>
              <w:t>Security Risk Reduction</w:t>
            </w:r>
          </w:p>
        </w:tc>
        <w:tc>
          <w:tcPr>
            <w:tcW w:w="2205" w:type="dxa"/>
            <w:tcBorders>
              <w:bottom w:val="single" w:sz="4" w:space="0" w:color="auto"/>
            </w:tcBorders>
            <w:vAlign w:val="center"/>
            <w:hideMark/>
          </w:tcPr>
          <w:p w14:paraId="59A403B1" w14:textId="77777777" w:rsidR="006B4879" w:rsidRPr="006B4879" w:rsidRDefault="006B4879" w:rsidP="006B4879">
            <w:pPr>
              <w:spacing w:after="240" w:line="240" w:lineRule="auto"/>
              <w:jc w:val="center"/>
              <w:rPr>
                <w:rFonts w:ascii="Garamond" w:eastAsia="Times New Roman" w:hAnsi="Garamond" w:cs="Times New Roman"/>
              </w:rPr>
            </w:pPr>
            <w:r w:rsidRPr="006B4879">
              <w:rPr>
                <w:rFonts w:ascii="Garamond" w:eastAsia="Times New Roman" w:hAnsi="Garamond" w:cs="Times New Roman"/>
              </w:rPr>
              <w:t>Operational Feasibility</w:t>
            </w:r>
          </w:p>
        </w:tc>
      </w:tr>
      <w:tr w:rsidR="005C6BF1" w:rsidRPr="006B4879" w14:paraId="1D219161" w14:textId="77777777" w:rsidTr="005C6BF1">
        <w:trPr>
          <w:tblCellSpacing w:w="15" w:type="dxa"/>
        </w:trPr>
        <w:tc>
          <w:tcPr>
            <w:tcW w:w="2385" w:type="dxa"/>
            <w:vAlign w:val="center"/>
            <w:hideMark/>
          </w:tcPr>
          <w:p w14:paraId="086C116C"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1. Shared-drive workflow</w:t>
            </w:r>
          </w:p>
        </w:tc>
        <w:tc>
          <w:tcPr>
            <w:tcW w:w="5640" w:type="dxa"/>
            <w:vAlign w:val="center"/>
            <w:hideMark/>
          </w:tcPr>
          <w:p w14:paraId="34E514CE"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Unauthenticated OneDrive links + generic shared password</w:t>
            </w:r>
          </w:p>
        </w:tc>
        <w:tc>
          <w:tcPr>
            <w:tcW w:w="1140" w:type="dxa"/>
            <w:vAlign w:val="center"/>
            <w:hideMark/>
          </w:tcPr>
          <w:p w14:paraId="535C01FE"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Fails</w:t>
            </w:r>
          </w:p>
        </w:tc>
        <w:tc>
          <w:tcPr>
            <w:tcW w:w="1410" w:type="dxa"/>
            <w:vAlign w:val="center"/>
            <w:hideMark/>
          </w:tcPr>
          <w:p w14:paraId="0BC56157"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Fails</w:t>
            </w:r>
          </w:p>
        </w:tc>
        <w:tc>
          <w:tcPr>
            <w:tcW w:w="2205" w:type="dxa"/>
            <w:vAlign w:val="center"/>
            <w:hideMark/>
          </w:tcPr>
          <w:p w14:paraId="2E3407F2"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Passes (short-term)</w:t>
            </w:r>
          </w:p>
        </w:tc>
      </w:tr>
      <w:tr w:rsidR="005C6BF1" w:rsidRPr="006B4879" w14:paraId="543422E7" w14:textId="77777777" w:rsidTr="005C6BF1">
        <w:trPr>
          <w:tblCellSpacing w:w="15" w:type="dxa"/>
        </w:trPr>
        <w:tc>
          <w:tcPr>
            <w:tcW w:w="2385" w:type="dxa"/>
            <w:vAlign w:val="center"/>
            <w:hideMark/>
          </w:tcPr>
          <w:p w14:paraId="2BD2EE23"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2. External secure channel</w:t>
            </w:r>
          </w:p>
        </w:tc>
        <w:tc>
          <w:tcPr>
            <w:tcW w:w="5640" w:type="dxa"/>
            <w:vAlign w:val="center"/>
            <w:hideMark/>
          </w:tcPr>
          <w:p w14:paraId="56067B85"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Encrypted third-party upload portal or secure file-transfer mechanism</w:t>
            </w:r>
          </w:p>
        </w:tc>
        <w:tc>
          <w:tcPr>
            <w:tcW w:w="1140" w:type="dxa"/>
            <w:vAlign w:val="center"/>
            <w:hideMark/>
          </w:tcPr>
          <w:p w14:paraId="51BD901B"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Passes</w:t>
            </w:r>
          </w:p>
        </w:tc>
        <w:tc>
          <w:tcPr>
            <w:tcW w:w="1410" w:type="dxa"/>
            <w:vAlign w:val="center"/>
            <w:hideMark/>
          </w:tcPr>
          <w:p w14:paraId="704E4023"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Passes</w:t>
            </w:r>
          </w:p>
        </w:tc>
        <w:tc>
          <w:tcPr>
            <w:tcW w:w="2205" w:type="dxa"/>
            <w:vAlign w:val="center"/>
            <w:hideMark/>
          </w:tcPr>
          <w:p w14:paraId="04FF60E0"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Moderate (coordination required)</w:t>
            </w:r>
          </w:p>
        </w:tc>
      </w:tr>
      <w:tr w:rsidR="005C6BF1" w:rsidRPr="006B4879" w14:paraId="1197D77C" w14:textId="77777777" w:rsidTr="005C6BF1">
        <w:trPr>
          <w:tblCellSpacing w:w="15" w:type="dxa"/>
        </w:trPr>
        <w:tc>
          <w:tcPr>
            <w:tcW w:w="2385" w:type="dxa"/>
            <w:vAlign w:val="center"/>
            <w:hideMark/>
          </w:tcPr>
          <w:p w14:paraId="6F2BD43A"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3. Salesforce workflow</w:t>
            </w:r>
          </w:p>
        </w:tc>
        <w:tc>
          <w:tcPr>
            <w:tcW w:w="5640" w:type="dxa"/>
            <w:vAlign w:val="center"/>
            <w:hideMark/>
          </w:tcPr>
          <w:p w14:paraId="7F79ACE1"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Intake via Salesforce with authentication, encryption, auditability</w:t>
            </w:r>
          </w:p>
        </w:tc>
        <w:tc>
          <w:tcPr>
            <w:tcW w:w="1140" w:type="dxa"/>
            <w:vAlign w:val="center"/>
            <w:hideMark/>
          </w:tcPr>
          <w:p w14:paraId="79EA1EA8"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Passes</w:t>
            </w:r>
          </w:p>
        </w:tc>
        <w:tc>
          <w:tcPr>
            <w:tcW w:w="1410" w:type="dxa"/>
            <w:vAlign w:val="center"/>
            <w:hideMark/>
          </w:tcPr>
          <w:p w14:paraId="25A71B07"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Passes</w:t>
            </w:r>
          </w:p>
        </w:tc>
        <w:tc>
          <w:tcPr>
            <w:tcW w:w="2205" w:type="dxa"/>
            <w:vAlign w:val="center"/>
            <w:hideMark/>
          </w:tcPr>
          <w:p w14:paraId="16C4A919" w14:textId="77777777" w:rsidR="006B4879" w:rsidRPr="006B4879" w:rsidRDefault="006B4879" w:rsidP="006B4879">
            <w:pPr>
              <w:spacing w:after="240" w:line="240" w:lineRule="auto"/>
              <w:rPr>
                <w:rFonts w:ascii="Garamond" w:eastAsia="Times New Roman" w:hAnsi="Garamond" w:cs="Times New Roman"/>
              </w:rPr>
            </w:pPr>
            <w:r w:rsidRPr="006B4879">
              <w:rPr>
                <w:rFonts w:ascii="Garamond" w:eastAsia="Times New Roman" w:hAnsi="Garamond" w:cs="Times New Roman"/>
              </w:rPr>
              <w:t>Passes</w:t>
            </w:r>
          </w:p>
        </w:tc>
      </w:tr>
    </w:tbl>
    <w:p w14:paraId="16D4BBD0" w14:textId="3A9C281B" w:rsidR="00917AB2" w:rsidRPr="00917AB2" w:rsidRDefault="00917AB2" w:rsidP="006B4879">
      <w:pPr>
        <w:spacing w:after="240" w:line="240" w:lineRule="auto"/>
        <w:textAlignment w:val="baseline"/>
        <w:rPr>
          <w:rFonts w:ascii="Garamond" w:eastAsia="Times New Roman" w:hAnsi="Garamond" w:cs="Segoe UI"/>
        </w:rPr>
      </w:pPr>
    </w:p>
    <w:p w14:paraId="7A35CEC9" w14:textId="77777777" w:rsidR="00917AB2" w:rsidRPr="00917AB2" w:rsidRDefault="00917AB2" w:rsidP="006B4879">
      <w:pPr>
        <w:spacing w:after="240" w:line="240" w:lineRule="auto"/>
        <w:textAlignment w:val="baseline"/>
        <w:rPr>
          <w:rFonts w:ascii="Garamond" w:eastAsia="Times New Roman" w:hAnsi="Garamond" w:cs="Segoe UI"/>
          <w:color w:val="2F5496"/>
        </w:rPr>
      </w:pPr>
      <w:r w:rsidRPr="00917AB2">
        <w:rPr>
          <w:rFonts w:ascii="Garamond" w:eastAsia="Times New Roman" w:hAnsi="Garamond" w:cs="Calibri Light"/>
          <w:color w:val="2F5496"/>
        </w:rPr>
        <w:t>Decision </w:t>
      </w:r>
    </w:p>
    <w:p w14:paraId="09CD1042" w14:textId="405F42E3" w:rsidR="00091509" w:rsidRPr="006B4879" w:rsidRDefault="00091509" w:rsidP="006B4879">
      <w:pPr>
        <w:spacing w:after="240" w:line="240" w:lineRule="auto"/>
        <w:textAlignment w:val="baseline"/>
        <w:rPr>
          <w:rFonts w:ascii="Garamond" w:eastAsia="Times New Roman" w:hAnsi="Garamond" w:cs="Segoe UI"/>
        </w:rPr>
      </w:pPr>
      <w:r w:rsidRPr="006B4879">
        <w:rPr>
          <w:rFonts w:ascii="Garamond" w:eastAsia="Times New Roman" w:hAnsi="Garamond" w:cs="Calibri Light"/>
          <w:color w:val="2F5496"/>
        </w:rPr>
        <w:t xml:space="preserve">Proposed Solution to the Business Problem &amp; </w:t>
      </w:r>
      <w:r w:rsidRPr="006B4879">
        <w:rPr>
          <w:rFonts w:ascii="Garamond" w:eastAsia="Times New Roman" w:hAnsi="Garamond"/>
          <w:color w:val="2F5496"/>
        </w:rPr>
        <w:t>E</w:t>
      </w:r>
      <w:r w:rsidRPr="00917AB2">
        <w:rPr>
          <w:rFonts w:ascii="Garamond" w:eastAsia="Times New Roman" w:hAnsi="Garamond"/>
          <w:color w:val="2F5496"/>
        </w:rPr>
        <w:t xml:space="preserve">thical </w:t>
      </w:r>
      <w:r w:rsidRPr="006B4879">
        <w:rPr>
          <w:rFonts w:ascii="Garamond" w:eastAsia="Times New Roman" w:hAnsi="Garamond"/>
          <w:color w:val="2F5496"/>
        </w:rPr>
        <w:t>A</w:t>
      </w:r>
      <w:r w:rsidRPr="00917AB2">
        <w:rPr>
          <w:rFonts w:ascii="Garamond" w:eastAsia="Times New Roman" w:hAnsi="Garamond"/>
          <w:color w:val="2F5496"/>
        </w:rPr>
        <w:t xml:space="preserve">spects to </w:t>
      </w:r>
      <w:r w:rsidRPr="006B4879">
        <w:rPr>
          <w:rFonts w:ascii="Garamond" w:eastAsia="Times New Roman" w:hAnsi="Garamond"/>
          <w:color w:val="2F5496"/>
        </w:rPr>
        <w:t>Consider</w:t>
      </w:r>
    </w:p>
    <w:p w14:paraId="2D6B33E6" w14:textId="098B6C13" w:rsidR="00917AB2" w:rsidRPr="00917AB2" w:rsidRDefault="00091509" w:rsidP="006B4879">
      <w:pPr>
        <w:spacing w:after="240" w:line="240" w:lineRule="auto"/>
        <w:textAlignment w:val="baseline"/>
        <w:rPr>
          <w:rFonts w:ascii="Garamond" w:eastAsia="Times New Roman" w:hAnsi="Garamond" w:cs="Segoe UI"/>
        </w:rPr>
      </w:pPr>
      <w:r w:rsidRPr="006B4879">
        <w:rPr>
          <w:rFonts w:ascii="Garamond" w:eastAsia="Times New Roman" w:hAnsi="Garamond" w:cs="Segoe UI"/>
        </w:rPr>
        <w:t>The best option is building a Salesforce intake workflow with identity-bound authentication, MFA, encryption, and audit logging. This approach meets all evaluation criteria: it aligns with 201 CMR 17.00, mitigates security gaps created by shared folders, maintains operational continuity, and is supported by strong third-party assurance (SOC/ISO/BCR certifications).</w:t>
      </w:r>
    </w:p>
    <w:p w14:paraId="681FFB0A" w14:textId="52E2323B" w:rsidR="00091509" w:rsidRPr="005C6BF1"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lastRenderedPageBreak/>
        <w:t>This solution replaces uncontrolled shared-drive storage with a secure, identity-bound system that encrypts intake, enforces authenticated access, and logs all handling activity. It eliminates the architectural vulnerabilities that caused concerns about data exposure and onboarding delays, ensuring regulated identifiers are handled in a compliant and transparent way.</w:t>
      </w:r>
      <w:r w:rsidR="00917AB2" w:rsidRPr="00917AB2">
        <w:rPr>
          <w:rFonts w:ascii="Garamond" w:eastAsia="Times New Roman" w:hAnsi="Garamond"/>
        </w:rPr>
        <w:t> </w:t>
      </w:r>
    </w:p>
    <w:p w14:paraId="7B0A1DFA" w14:textId="4ACE51AB" w:rsidR="00091509" w:rsidRPr="006B4879" w:rsidRDefault="00091509" w:rsidP="006B4879">
      <w:pPr>
        <w:spacing w:after="240" w:line="240" w:lineRule="auto"/>
        <w:textAlignment w:val="baseline"/>
        <w:rPr>
          <w:rFonts w:ascii="Garamond" w:eastAsia="Times New Roman" w:hAnsi="Garamond" w:cs="Segoe UI"/>
        </w:rPr>
      </w:pPr>
      <w:r w:rsidRPr="006B4879">
        <w:rPr>
          <w:rFonts w:ascii="Garamond" w:eastAsia="Times New Roman" w:hAnsi="Garamond" w:cs="Segoe UI"/>
        </w:rPr>
        <w:t>Ethical considerations include protecting individuals’ sensitive identifiers, minimizing the risk of harm caused by data exposure, ensuring fair and consistent intake procedures, and avoiding unnecessary barriers that impact learners. The decision prioritizes privacy, safety, and responsible stewardship of regulated data.</w:t>
      </w:r>
    </w:p>
    <w:p w14:paraId="4A529C78" w14:textId="13BB6077" w:rsidR="00917AB2" w:rsidRPr="00917AB2" w:rsidRDefault="00917AB2" w:rsidP="006B4879">
      <w:pPr>
        <w:spacing w:after="240" w:line="240" w:lineRule="auto"/>
        <w:textAlignment w:val="baseline"/>
        <w:rPr>
          <w:rFonts w:ascii="Garamond" w:eastAsia="Times New Roman" w:hAnsi="Garamond" w:cs="Segoe UI"/>
        </w:rPr>
      </w:pPr>
    </w:p>
    <w:p w14:paraId="33FB80A9" w14:textId="3D1C6328" w:rsidR="00917AB2" w:rsidRPr="00917AB2" w:rsidRDefault="00917AB2" w:rsidP="006B4879">
      <w:pPr>
        <w:spacing w:after="240" w:line="240" w:lineRule="auto"/>
        <w:textAlignment w:val="baseline"/>
        <w:rPr>
          <w:rFonts w:ascii="Garamond" w:eastAsia="Times New Roman" w:hAnsi="Garamond" w:cs="Segoe UI"/>
          <w:color w:val="2F5496"/>
        </w:rPr>
      </w:pPr>
      <w:r w:rsidRPr="00917AB2">
        <w:rPr>
          <w:rFonts w:ascii="Garamond" w:eastAsia="Times New Roman" w:hAnsi="Garamond" w:cs="Calibri Light"/>
          <w:color w:val="2F5496"/>
        </w:rPr>
        <w:t>Implementation </w:t>
      </w:r>
      <w:r w:rsidRPr="00917AB2">
        <w:rPr>
          <w:rFonts w:ascii="Garamond" w:eastAsia="Times New Roman" w:hAnsi="Garamond"/>
          <w:color w:val="000000"/>
        </w:rPr>
        <w:t> </w:t>
      </w:r>
    </w:p>
    <w:tbl>
      <w:tblPr>
        <w:tblW w:w="14490" w:type="dxa"/>
        <w:tblInd w:w="-81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23"/>
        <w:gridCol w:w="4305"/>
        <w:gridCol w:w="5062"/>
      </w:tblGrid>
      <w:tr w:rsidR="00917AB2" w:rsidRPr="00917AB2" w14:paraId="470E7C1D" w14:textId="77777777" w:rsidTr="006B4879">
        <w:trPr>
          <w:trHeight w:val="300"/>
        </w:trPr>
        <w:tc>
          <w:tcPr>
            <w:tcW w:w="5123" w:type="dxa"/>
            <w:tcBorders>
              <w:top w:val="single" w:sz="6" w:space="0" w:color="000000"/>
              <w:left w:val="single" w:sz="6" w:space="0" w:color="000000"/>
              <w:bottom w:val="single" w:sz="6" w:space="0" w:color="000000"/>
              <w:right w:val="single" w:sz="6" w:space="0" w:color="000000"/>
            </w:tcBorders>
            <w:hideMark/>
          </w:tcPr>
          <w:p w14:paraId="5283A0CB" w14:textId="77777777" w:rsidR="00917AB2" w:rsidRPr="00917AB2" w:rsidRDefault="00917AB2" w:rsidP="006B4879">
            <w:pPr>
              <w:spacing w:after="240" w:line="240" w:lineRule="auto"/>
              <w:textAlignment w:val="baseline"/>
              <w:rPr>
                <w:rFonts w:ascii="Garamond" w:eastAsia="Times New Roman" w:hAnsi="Garamond" w:cs="Times New Roman"/>
              </w:rPr>
            </w:pPr>
            <w:r w:rsidRPr="00917AB2">
              <w:rPr>
                <w:rFonts w:ascii="Garamond" w:eastAsia="Times New Roman" w:hAnsi="Garamond"/>
                <w:b/>
                <w:bCs/>
              </w:rPr>
              <w:t>Short Term = 0–4 weeks</w:t>
            </w:r>
            <w:r w:rsidRPr="00917AB2">
              <w:rPr>
                <w:rFonts w:ascii="Garamond" w:eastAsia="Times New Roman" w:hAnsi="Garamond"/>
              </w:rPr>
              <w:t> </w:t>
            </w:r>
          </w:p>
        </w:tc>
        <w:tc>
          <w:tcPr>
            <w:tcW w:w="4305" w:type="dxa"/>
            <w:tcBorders>
              <w:top w:val="single" w:sz="6" w:space="0" w:color="000000"/>
              <w:left w:val="single" w:sz="6" w:space="0" w:color="000000"/>
              <w:bottom w:val="single" w:sz="6" w:space="0" w:color="000000"/>
              <w:right w:val="single" w:sz="6" w:space="0" w:color="000000"/>
            </w:tcBorders>
            <w:hideMark/>
          </w:tcPr>
          <w:p w14:paraId="1EBC7DF0" w14:textId="77777777" w:rsidR="00917AB2" w:rsidRPr="00917AB2" w:rsidRDefault="00917AB2" w:rsidP="006B4879">
            <w:pPr>
              <w:spacing w:after="240" w:line="240" w:lineRule="auto"/>
              <w:textAlignment w:val="baseline"/>
              <w:rPr>
                <w:rFonts w:ascii="Garamond" w:eastAsia="Times New Roman" w:hAnsi="Garamond" w:cs="Times New Roman"/>
              </w:rPr>
            </w:pPr>
            <w:r w:rsidRPr="00917AB2">
              <w:rPr>
                <w:rFonts w:ascii="Garamond" w:eastAsia="Times New Roman" w:hAnsi="Garamond"/>
                <w:b/>
                <w:bCs/>
              </w:rPr>
              <w:t>Medium Term = 1–3 months</w:t>
            </w:r>
            <w:r w:rsidRPr="00917AB2">
              <w:rPr>
                <w:rFonts w:ascii="Garamond" w:eastAsia="Times New Roman" w:hAnsi="Garamond"/>
              </w:rPr>
              <w:t> </w:t>
            </w:r>
          </w:p>
        </w:tc>
        <w:tc>
          <w:tcPr>
            <w:tcW w:w="5062" w:type="dxa"/>
            <w:tcBorders>
              <w:top w:val="single" w:sz="6" w:space="0" w:color="000000"/>
              <w:left w:val="single" w:sz="6" w:space="0" w:color="000000"/>
              <w:bottom w:val="single" w:sz="6" w:space="0" w:color="000000"/>
              <w:right w:val="single" w:sz="6" w:space="0" w:color="000000"/>
            </w:tcBorders>
            <w:hideMark/>
          </w:tcPr>
          <w:p w14:paraId="40383322" w14:textId="77777777" w:rsidR="00917AB2" w:rsidRPr="00917AB2" w:rsidRDefault="00917AB2" w:rsidP="006B4879">
            <w:pPr>
              <w:spacing w:after="240" w:line="240" w:lineRule="auto"/>
              <w:textAlignment w:val="baseline"/>
              <w:rPr>
                <w:rFonts w:ascii="Garamond" w:eastAsia="Times New Roman" w:hAnsi="Garamond" w:cs="Times New Roman"/>
              </w:rPr>
            </w:pPr>
            <w:r w:rsidRPr="00917AB2">
              <w:rPr>
                <w:rFonts w:ascii="Garamond" w:eastAsia="Times New Roman" w:hAnsi="Garamond"/>
                <w:b/>
                <w:bCs/>
              </w:rPr>
              <w:t>Long Term = 3–12 months</w:t>
            </w:r>
            <w:r w:rsidRPr="00917AB2">
              <w:rPr>
                <w:rFonts w:ascii="Garamond" w:eastAsia="Times New Roman" w:hAnsi="Garamond"/>
              </w:rPr>
              <w:t> </w:t>
            </w:r>
          </w:p>
        </w:tc>
      </w:tr>
      <w:tr w:rsidR="00917AB2" w:rsidRPr="00917AB2" w14:paraId="2290097A" w14:textId="77777777" w:rsidTr="006B4879">
        <w:trPr>
          <w:trHeight w:val="2880"/>
        </w:trPr>
        <w:tc>
          <w:tcPr>
            <w:tcW w:w="5123" w:type="dxa"/>
            <w:tcBorders>
              <w:top w:val="single" w:sz="6" w:space="0" w:color="000000"/>
              <w:left w:val="single" w:sz="6" w:space="0" w:color="000000"/>
              <w:bottom w:val="single" w:sz="6" w:space="0" w:color="000000"/>
              <w:right w:val="single" w:sz="6" w:space="0" w:color="000000"/>
            </w:tcBorders>
            <w:hideMark/>
          </w:tcPr>
          <w:p w14:paraId="1310DFDB"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Configure Salesforce intake objects, permission sets, MFA, IP ranges, and TLS enforcement  </w:t>
            </w:r>
          </w:p>
          <w:p w14:paraId="09689F44"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Build an encrypted intake flow and test identity-bound uploads and audit-log creation  </w:t>
            </w:r>
          </w:p>
          <w:p w14:paraId="0DB2AADB"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Activate password controls and login lockout thresholds  </w:t>
            </w:r>
          </w:p>
          <w:p w14:paraId="1A513B0C"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Document all implemented 201 CMR 17.00 controls in a unified control matrix  </w:t>
            </w:r>
          </w:p>
          <w:p w14:paraId="39530AA2"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Draft a WISP with administrative, technical, and physical safeguards mapped to Salesforce capabilities  </w:t>
            </w:r>
          </w:p>
          <w:p w14:paraId="41CBC96F"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Pilot the workflow with one cohort; retain legacy channel for limited fallback use  </w:t>
            </w:r>
          </w:p>
          <w:p w14:paraId="22372DBA" w14:textId="41FB8655" w:rsidR="00917AB2" w:rsidRPr="00917AB2" w:rsidRDefault="00091509" w:rsidP="006B4879">
            <w:pPr>
              <w:spacing w:after="240" w:line="240" w:lineRule="auto"/>
              <w:textAlignment w:val="baseline"/>
              <w:rPr>
                <w:rFonts w:ascii="Garamond" w:eastAsia="Times New Roman" w:hAnsi="Garamond" w:cs="Times New Roman"/>
              </w:rPr>
            </w:pPr>
            <w:r w:rsidRPr="006B4879">
              <w:rPr>
                <w:rFonts w:ascii="Garamond" w:eastAsia="Times New Roman" w:hAnsi="Garamond"/>
              </w:rPr>
              <w:t xml:space="preserve">• Align incident documentation steps with Salesforce’s documented incident-response program  </w:t>
            </w:r>
            <w:r w:rsidR="00917AB2" w:rsidRPr="00917AB2">
              <w:rPr>
                <w:rFonts w:ascii="Garamond" w:eastAsia="Times New Roman" w:hAnsi="Garamond"/>
              </w:rPr>
              <w:t> </w:t>
            </w:r>
          </w:p>
        </w:tc>
        <w:tc>
          <w:tcPr>
            <w:tcW w:w="4305" w:type="dxa"/>
            <w:tcBorders>
              <w:top w:val="single" w:sz="6" w:space="0" w:color="000000"/>
              <w:left w:val="single" w:sz="6" w:space="0" w:color="000000"/>
              <w:bottom w:val="single" w:sz="6" w:space="0" w:color="000000"/>
              <w:right w:val="single" w:sz="6" w:space="0" w:color="000000"/>
            </w:tcBorders>
            <w:hideMark/>
          </w:tcPr>
          <w:p w14:paraId="65D3DB51"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Finalize and distribute the WISP and collect staff acknowledgments  </w:t>
            </w:r>
          </w:p>
          <w:p w14:paraId="0B91AF7C"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Train staff on intake workflow, data-minimization rules, and retention policies  </w:t>
            </w:r>
          </w:p>
          <w:p w14:paraId="6F05E197"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Implement log-review procedures and assign monitoring responsibilities  </w:t>
            </w:r>
          </w:p>
          <w:p w14:paraId="4FAC4AE0"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Integrate reporting needs; deprecate all legacy shared-drive intake channels  </w:t>
            </w:r>
          </w:p>
          <w:p w14:paraId="1FC1584E"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Develop procedures for provisioning/deactivation, vendor oversight, and periodic verification of controls  </w:t>
            </w:r>
          </w:p>
          <w:p w14:paraId="2ECB44D6" w14:textId="57657583" w:rsidR="00917AB2" w:rsidRPr="00917AB2" w:rsidRDefault="00091509" w:rsidP="006B4879">
            <w:pPr>
              <w:spacing w:after="240" w:line="240" w:lineRule="auto"/>
              <w:textAlignment w:val="baseline"/>
              <w:rPr>
                <w:rFonts w:ascii="Garamond" w:eastAsia="Times New Roman" w:hAnsi="Garamond" w:cs="Times New Roman"/>
              </w:rPr>
            </w:pPr>
            <w:r w:rsidRPr="006B4879">
              <w:rPr>
                <w:rFonts w:ascii="Garamond" w:eastAsia="Times New Roman" w:hAnsi="Garamond"/>
              </w:rPr>
              <w:t xml:space="preserve">• Begin quarterly permission audits and retention-policy checks  </w:t>
            </w:r>
          </w:p>
        </w:tc>
        <w:tc>
          <w:tcPr>
            <w:tcW w:w="5062" w:type="dxa"/>
            <w:tcBorders>
              <w:top w:val="single" w:sz="6" w:space="0" w:color="000000"/>
              <w:left w:val="single" w:sz="6" w:space="0" w:color="000000"/>
              <w:bottom w:val="single" w:sz="6" w:space="0" w:color="000000"/>
              <w:right w:val="single" w:sz="6" w:space="0" w:color="000000"/>
            </w:tcBorders>
            <w:hideMark/>
          </w:tcPr>
          <w:p w14:paraId="1E885324"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Deploy a student self-service portal for secure uploads  </w:t>
            </w:r>
          </w:p>
          <w:p w14:paraId="6EEA580E"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Implement automated retention and archival rules  </w:t>
            </w:r>
          </w:p>
          <w:p w14:paraId="2F40F1F8"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Produce an annual compliance packet aligned to SOC/ISO/BCR evidence  </w:t>
            </w:r>
          </w:p>
          <w:p w14:paraId="698F8BB0"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Run annual WISP update cycles  </w:t>
            </w:r>
          </w:p>
          <w:p w14:paraId="42EEBB8D"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Fully decommission legacy intake artifacts and maintain migration evidence  </w:t>
            </w:r>
          </w:p>
          <w:p w14:paraId="79BEAA16" w14:textId="5B9DD72E" w:rsidR="00917AB2" w:rsidRPr="00917AB2" w:rsidRDefault="00091509" w:rsidP="006B4879">
            <w:pPr>
              <w:spacing w:after="240" w:line="240" w:lineRule="auto"/>
              <w:textAlignment w:val="baseline"/>
              <w:rPr>
                <w:rFonts w:ascii="Garamond" w:eastAsia="Times New Roman" w:hAnsi="Garamond" w:cs="Times New Roman"/>
              </w:rPr>
            </w:pPr>
            <w:r w:rsidRPr="006B4879">
              <w:rPr>
                <w:rFonts w:ascii="Garamond" w:eastAsia="Times New Roman" w:hAnsi="Garamond"/>
              </w:rPr>
              <w:t>• Expand monitoring with anomaly-detection reviews and threat-model updates</w:t>
            </w:r>
            <w:r w:rsidR="00917AB2" w:rsidRPr="00917AB2">
              <w:rPr>
                <w:rFonts w:ascii="Garamond" w:eastAsia="Times New Roman" w:hAnsi="Garamond"/>
              </w:rPr>
              <w:t> </w:t>
            </w:r>
          </w:p>
        </w:tc>
      </w:tr>
    </w:tbl>
    <w:p w14:paraId="3D615E12" w14:textId="77777777" w:rsidR="005C6BF1" w:rsidRDefault="005C6BF1" w:rsidP="006B4879">
      <w:pPr>
        <w:spacing w:after="240" w:line="240" w:lineRule="auto"/>
        <w:textAlignment w:val="baseline"/>
        <w:rPr>
          <w:rFonts w:ascii="Garamond" w:eastAsia="Times New Roman" w:hAnsi="Garamond" w:cs="Calibri Light"/>
          <w:color w:val="2F5496"/>
        </w:rPr>
      </w:pPr>
    </w:p>
    <w:p w14:paraId="71C722E9" w14:textId="77777777" w:rsidR="005C6BF1" w:rsidRDefault="005C6BF1">
      <w:pPr>
        <w:rPr>
          <w:rFonts w:ascii="Garamond" w:eastAsia="Times New Roman" w:hAnsi="Garamond" w:cs="Calibri Light"/>
          <w:color w:val="2F5496"/>
        </w:rPr>
      </w:pPr>
      <w:r>
        <w:rPr>
          <w:rFonts w:ascii="Garamond" w:eastAsia="Times New Roman" w:hAnsi="Garamond" w:cs="Calibri Light"/>
          <w:color w:val="2F5496"/>
        </w:rPr>
        <w:br w:type="page"/>
      </w:r>
    </w:p>
    <w:p w14:paraId="4982D5CD" w14:textId="5B62A0FE" w:rsidR="00917AB2" w:rsidRPr="00917AB2" w:rsidRDefault="00091509" w:rsidP="006B4879">
      <w:pPr>
        <w:spacing w:after="240" w:line="240" w:lineRule="auto"/>
        <w:textAlignment w:val="baseline"/>
        <w:rPr>
          <w:rFonts w:ascii="Garamond" w:eastAsia="Times New Roman" w:hAnsi="Garamond" w:cs="Segoe UI"/>
          <w:color w:val="2F5496"/>
        </w:rPr>
      </w:pPr>
      <w:r w:rsidRPr="006B4879">
        <w:rPr>
          <w:rFonts w:ascii="Garamond" w:eastAsia="Times New Roman" w:hAnsi="Garamond" w:cs="Calibri Light"/>
          <w:color w:val="2F5496"/>
        </w:rPr>
        <w:lastRenderedPageBreak/>
        <w:t>M</w:t>
      </w:r>
      <w:r w:rsidR="00917AB2" w:rsidRPr="00917AB2">
        <w:rPr>
          <w:rFonts w:ascii="Garamond" w:eastAsia="Times New Roman" w:hAnsi="Garamond" w:cs="Calibri Light"/>
          <w:color w:val="2F5496"/>
        </w:rPr>
        <w:t xml:space="preserve">ajor </w:t>
      </w:r>
      <w:r w:rsidRPr="006B4879">
        <w:rPr>
          <w:rFonts w:ascii="Garamond" w:eastAsia="Times New Roman" w:hAnsi="Garamond" w:cs="Calibri Light"/>
          <w:color w:val="2F5496"/>
        </w:rPr>
        <w:t>R</w:t>
      </w:r>
      <w:r w:rsidR="00917AB2" w:rsidRPr="00917AB2">
        <w:rPr>
          <w:rFonts w:ascii="Garamond" w:eastAsia="Times New Roman" w:hAnsi="Garamond" w:cs="Calibri Light"/>
          <w:color w:val="2F5496"/>
        </w:rPr>
        <w:t>isks</w:t>
      </w:r>
    </w:p>
    <w:p w14:paraId="351CAA0E"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Misconfigured permissions could expose or restrict access to personal information  </w:t>
      </w:r>
    </w:p>
    <w:p w14:paraId="27B4B05B"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Staff may revert to email or other informal channels  </w:t>
      </w:r>
    </w:p>
    <w:p w14:paraId="59DE61A8"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Intake form errors could cause onboarding delays  </w:t>
      </w:r>
    </w:p>
    <w:p w14:paraId="435558A0" w14:textId="77777777" w:rsidR="00091509"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xml:space="preserve">• A WISP may exist only “on paper” if not operationalized  </w:t>
      </w:r>
    </w:p>
    <w:p w14:paraId="2771A124" w14:textId="3C35CFDC" w:rsidR="00917AB2" w:rsidRPr="006B4879" w:rsidRDefault="00091509" w:rsidP="006B4879">
      <w:pPr>
        <w:spacing w:after="240" w:line="240" w:lineRule="auto"/>
        <w:textAlignment w:val="baseline"/>
        <w:rPr>
          <w:rFonts w:ascii="Garamond" w:eastAsia="Times New Roman" w:hAnsi="Garamond"/>
        </w:rPr>
      </w:pPr>
      <w:r w:rsidRPr="006B4879">
        <w:rPr>
          <w:rFonts w:ascii="Garamond" w:eastAsia="Times New Roman" w:hAnsi="Garamond"/>
        </w:rPr>
        <w:t>• Vendor-oversight obligations may not be continuously monitored</w:t>
      </w:r>
      <w:r w:rsidR="00917AB2" w:rsidRPr="00917AB2">
        <w:rPr>
          <w:rFonts w:ascii="Garamond" w:eastAsia="Times New Roman" w:hAnsi="Garamond"/>
        </w:rPr>
        <w:t> </w:t>
      </w:r>
    </w:p>
    <w:p w14:paraId="25E21AA1" w14:textId="77777777" w:rsidR="00091509" w:rsidRPr="00917AB2" w:rsidRDefault="00091509" w:rsidP="006B4879">
      <w:pPr>
        <w:spacing w:after="240" w:line="240" w:lineRule="auto"/>
        <w:textAlignment w:val="baseline"/>
        <w:rPr>
          <w:rFonts w:ascii="Garamond" w:eastAsia="Times New Roman" w:hAnsi="Garamond" w:cs="Segoe UI"/>
        </w:rPr>
      </w:pPr>
    </w:p>
    <w:p w14:paraId="4D3FABF5" w14:textId="117317FC" w:rsidR="00917AB2" w:rsidRPr="00917AB2" w:rsidRDefault="005C6BF1" w:rsidP="006B4879">
      <w:pPr>
        <w:spacing w:after="240" w:line="240" w:lineRule="auto"/>
        <w:textAlignment w:val="baseline"/>
        <w:rPr>
          <w:rFonts w:ascii="Garamond" w:eastAsia="Times New Roman" w:hAnsi="Garamond" w:cs="Segoe UI"/>
          <w:color w:val="2F5496"/>
        </w:rPr>
      </w:pPr>
      <w:r>
        <w:rPr>
          <w:rFonts w:ascii="Garamond" w:eastAsia="Times New Roman" w:hAnsi="Garamond" w:cs="Calibri Light"/>
          <w:color w:val="2F5496"/>
        </w:rPr>
        <w:t>Steps</w:t>
      </w:r>
      <w:r w:rsidR="00917AB2" w:rsidRPr="00917AB2">
        <w:rPr>
          <w:rFonts w:ascii="Garamond" w:eastAsia="Times New Roman" w:hAnsi="Garamond" w:cs="Calibri Light"/>
          <w:color w:val="2F5496"/>
        </w:rPr>
        <w:t xml:space="preserve"> to </w:t>
      </w:r>
      <w:r>
        <w:rPr>
          <w:rFonts w:ascii="Garamond" w:eastAsia="Times New Roman" w:hAnsi="Garamond" w:cs="Calibri Light"/>
          <w:color w:val="2F5496"/>
        </w:rPr>
        <w:t>A</w:t>
      </w:r>
      <w:r w:rsidR="00917AB2" w:rsidRPr="00917AB2">
        <w:rPr>
          <w:rFonts w:ascii="Garamond" w:eastAsia="Times New Roman" w:hAnsi="Garamond" w:cs="Calibri Light"/>
          <w:color w:val="2F5496"/>
        </w:rPr>
        <w:t xml:space="preserve">void or </w:t>
      </w:r>
      <w:r>
        <w:rPr>
          <w:rFonts w:ascii="Garamond" w:eastAsia="Times New Roman" w:hAnsi="Garamond" w:cs="Calibri Light"/>
          <w:color w:val="2F5496"/>
        </w:rPr>
        <w:t>M</w:t>
      </w:r>
      <w:r w:rsidR="00917AB2" w:rsidRPr="00917AB2">
        <w:rPr>
          <w:rFonts w:ascii="Garamond" w:eastAsia="Times New Roman" w:hAnsi="Garamond" w:cs="Calibri Light"/>
          <w:color w:val="2F5496"/>
        </w:rPr>
        <w:t xml:space="preserve">itigate </w:t>
      </w:r>
      <w:r>
        <w:rPr>
          <w:rFonts w:ascii="Garamond" w:eastAsia="Times New Roman" w:hAnsi="Garamond" w:cs="Calibri Light"/>
          <w:color w:val="2F5496"/>
        </w:rPr>
        <w:t>R</w:t>
      </w:r>
      <w:r w:rsidR="00917AB2" w:rsidRPr="00917AB2">
        <w:rPr>
          <w:rFonts w:ascii="Garamond" w:eastAsia="Times New Roman" w:hAnsi="Garamond" w:cs="Calibri Light"/>
          <w:color w:val="2F5496"/>
        </w:rPr>
        <w:t>isks</w:t>
      </w:r>
    </w:p>
    <w:p w14:paraId="4C38C85F" w14:textId="5993A996" w:rsidR="00091509" w:rsidRPr="006B4879" w:rsidRDefault="00917AB2" w:rsidP="006B4879">
      <w:pPr>
        <w:spacing w:after="240" w:line="240" w:lineRule="auto"/>
        <w:textAlignment w:val="baseline"/>
        <w:rPr>
          <w:rFonts w:ascii="Garamond" w:eastAsia="Times New Roman" w:hAnsi="Garamond" w:cs="Times New Roman"/>
        </w:rPr>
      </w:pPr>
      <w:r w:rsidRPr="00917AB2">
        <w:rPr>
          <w:rFonts w:ascii="Garamond" w:eastAsia="Times New Roman" w:hAnsi="Garamond" w:cs="Times New Roman"/>
        </w:rPr>
        <w:t xml:space="preserve"> • </w:t>
      </w:r>
      <w:r w:rsidR="00091509" w:rsidRPr="006B4879">
        <w:rPr>
          <w:rFonts w:ascii="Garamond" w:eastAsia="Times New Roman" w:hAnsi="Garamond" w:cs="Times New Roman"/>
        </w:rPr>
        <w:t xml:space="preserve">Conduct permission audits before each cohort  </w:t>
      </w:r>
    </w:p>
    <w:p w14:paraId="396BD548" w14:textId="77777777" w:rsidR="00091509" w:rsidRPr="006B4879" w:rsidRDefault="00091509" w:rsidP="006B4879">
      <w:pPr>
        <w:spacing w:after="240" w:line="240" w:lineRule="auto"/>
        <w:textAlignment w:val="baseline"/>
        <w:rPr>
          <w:rFonts w:ascii="Garamond" w:eastAsia="Times New Roman" w:hAnsi="Garamond" w:cs="Times New Roman"/>
        </w:rPr>
      </w:pPr>
      <w:r w:rsidRPr="006B4879">
        <w:rPr>
          <w:rFonts w:ascii="Garamond" w:eastAsia="Times New Roman" w:hAnsi="Garamond" w:cs="Times New Roman"/>
        </w:rPr>
        <w:t xml:space="preserve">• Disable email-based PI intake and require use of the identity-bound workflow  </w:t>
      </w:r>
    </w:p>
    <w:p w14:paraId="78E1ECCA" w14:textId="77777777" w:rsidR="00091509" w:rsidRPr="006B4879" w:rsidRDefault="00091509" w:rsidP="006B4879">
      <w:pPr>
        <w:spacing w:after="240" w:line="240" w:lineRule="auto"/>
        <w:textAlignment w:val="baseline"/>
        <w:rPr>
          <w:rFonts w:ascii="Garamond" w:eastAsia="Times New Roman" w:hAnsi="Garamond" w:cs="Times New Roman"/>
        </w:rPr>
      </w:pPr>
      <w:r w:rsidRPr="006B4879">
        <w:rPr>
          <w:rFonts w:ascii="Garamond" w:eastAsia="Times New Roman" w:hAnsi="Garamond" w:cs="Times New Roman"/>
        </w:rPr>
        <w:t xml:space="preserve">• Maintain a separate test environment and validate form changes prior to release  </w:t>
      </w:r>
    </w:p>
    <w:p w14:paraId="0E460616" w14:textId="77777777" w:rsidR="00091509" w:rsidRPr="006B4879" w:rsidRDefault="00091509" w:rsidP="006B4879">
      <w:pPr>
        <w:spacing w:after="240" w:line="240" w:lineRule="auto"/>
        <w:textAlignment w:val="baseline"/>
        <w:rPr>
          <w:rFonts w:ascii="Garamond" w:eastAsia="Times New Roman" w:hAnsi="Garamond" w:cs="Times New Roman"/>
        </w:rPr>
      </w:pPr>
      <w:r w:rsidRPr="006B4879">
        <w:rPr>
          <w:rFonts w:ascii="Garamond" w:eastAsia="Times New Roman" w:hAnsi="Garamond" w:cs="Times New Roman"/>
        </w:rPr>
        <w:t xml:space="preserve">• Provide semiannual WISP training and perform annual WISP revisions  </w:t>
      </w:r>
    </w:p>
    <w:p w14:paraId="2F64217B" w14:textId="77777777" w:rsidR="00091509" w:rsidRPr="006B4879" w:rsidRDefault="00091509" w:rsidP="006B4879">
      <w:pPr>
        <w:spacing w:after="240" w:line="240" w:lineRule="auto"/>
        <w:textAlignment w:val="baseline"/>
        <w:rPr>
          <w:rFonts w:ascii="Garamond" w:eastAsia="Times New Roman" w:hAnsi="Garamond" w:cs="Times New Roman"/>
        </w:rPr>
      </w:pPr>
      <w:r w:rsidRPr="006B4879">
        <w:rPr>
          <w:rFonts w:ascii="Garamond" w:eastAsia="Times New Roman" w:hAnsi="Garamond" w:cs="Times New Roman"/>
        </w:rPr>
        <w:t xml:space="preserve">• Assign a single system owner for intake security and vendor-assurance oversight  </w:t>
      </w:r>
    </w:p>
    <w:p w14:paraId="7F9D3C0F" w14:textId="2F653AF6" w:rsidR="00917AB2" w:rsidRPr="00917AB2" w:rsidRDefault="00091509" w:rsidP="006B4879">
      <w:pPr>
        <w:spacing w:after="240" w:line="240" w:lineRule="auto"/>
        <w:textAlignment w:val="baseline"/>
        <w:rPr>
          <w:rFonts w:ascii="Garamond" w:eastAsia="Times New Roman" w:hAnsi="Garamond" w:cs="Segoe UI"/>
        </w:rPr>
      </w:pPr>
      <w:r w:rsidRPr="006B4879">
        <w:rPr>
          <w:rFonts w:ascii="Garamond" w:eastAsia="Times New Roman" w:hAnsi="Garamond" w:cs="Times New Roman"/>
        </w:rPr>
        <w:t>• Use Salesforce audit logs to detect bypass attempts and update workflow controls as needed</w:t>
      </w:r>
      <w:r w:rsidR="00917AB2" w:rsidRPr="00917AB2">
        <w:rPr>
          <w:rFonts w:ascii="Garamond" w:eastAsia="Times New Roman" w:hAnsi="Garamond"/>
        </w:rPr>
        <w:t> </w:t>
      </w:r>
    </w:p>
    <w:p w14:paraId="0538B8D6" w14:textId="778D0081" w:rsidR="0053603A" w:rsidRPr="006B4879" w:rsidRDefault="0053603A" w:rsidP="0053603A">
      <w:pPr>
        <w:rPr>
          <w:rStyle w:val="s3"/>
          <w:rFonts w:ascii="Garamond" w:hAnsi="Garamond"/>
        </w:rPr>
      </w:pPr>
    </w:p>
    <w:p w14:paraId="78182982" w14:textId="4484BB63" w:rsidR="006B4879" w:rsidRPr="006B4879" w:rsidRDefault="006B4879">
      <w:pPr>
        <w:rPr>
          <w:rFonts w:ascii="Garamond" w:hAnsi="Garamond"/>
        </w:rPr>
      </w:pPr>
      <w:r w:rsidRPr="006B4879">
        <w:rPr>
          <w:rFonts w:ascii="Garamond" w:hAnsi="Garamond"/>
        </w:rPr>
        <w:br w:type="page"/>
      </w:r>
    </w:p>
    <w:p w14:paraId="4CEBB816" w14:textId="77777777" w:rsidR="006B4879" w:rsidRDefault="006B4879" w:rsidP="006B4879">
      <w:pPr>
        <w:pStyle w:val="Heading1"/>
        <w:rPr>
          <w:rFonts w:ascii="Garamond" w:hAnsi="Garamond"/>
          <w:sz w:val="22"/>
          <w:szCs w:val="22"/>
        </w:rPr>
      </w:pPr>
    </w:p>
    <w:p w14:paraId="6EFDD518" w14:textId="0C8E5F53" w:rsidR="006B4879" w:rsidRDefault="006B4879" w:rsidP="006B4879">
      <w:pPr>
        <w:pStyle w:val="Heading1"/>
        <w:rPr>
          <w:rFonts w:ascii="Garamond" w:hAnsi="Garamond"/>
          <w:sz w:val="22"/>
          <w:szCs w:val="22"/>
        </w:rPr>
      </w:pPr>
      <w:r w:rsidRPr="006B4879">
        <w:rPr>
          <w:rFonts w:ascii="Garamond" w:hAnsi="Garamond"/>
          <w:sz w:val="22"/>
          <w:szCs w:val="22"/>
        </w:rPr>
        <w:t>201 CMR 17.00 → Salesforce First Party Control Mapping</w:t>
      </w:r>
    </w:p>
    <w:p w14:paraId="429CF4AA" w14:textId="01DBF976" w:rsidR="006B4879" w:rsidRPr="006B4879" w:rsidRDefault="006B4879" w:rsidP="006B4879">
      <w:pPr>
        <w:pStyle w:val="Heading1"/>
        <w:rPr>
          <w:rFonts w:ascii="Garamond" w:hAnsi="Garamond"/>
          <w:sz w:val="22"/>
          <w:szCs w:val="22"/>
        </w:rPr>
      </w:pPr>
      <w:r w:rsidRPr="006B4879">
        <w:rPr>
          <w:rFonts w:ascii="Garamond" w:hAnsi="Garamond"/>
          <w:sz w:val="22"/>
          <w:szCs w:val="22"/>
        </w:rPr>
        <w:t>Direct Salesforce Document Citations</w:t>
      </w:r>
      <w:r w:rsidRPr="006B4879">
        <w:rPr>
          <w:rFonts w:ascii="Garamond" w:hAnsi="Garamond"/>
          <w:sz w:val="22"/>
          <w:szCs w:val="22"/>
        </w:rPr>
        <w:t xml:space="preserve"> Included</w:t>
      </w:r>
    </w:p>
    <w:tbl>
      <w:tblPr>
        <w:tblW w:w="14760" w:type="dxa"/>
        <w:tblCellSpacing w:w="15" w:type="dxa"/>
        <w:tblInd w:w="-900" w:type="dxa"/>
        <w:tblBorders>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960"/>
        <w:gridCol w:w="4770"/>
        <w:gridCol w:w="6030"/>
      </w:tblGrid>
      <w:tr w:rsidR="006B4879" w:rsidRPr="005C6BF1" w14:paraId="21EC7C77" w14:textId="77777777" w:rsidTr="005C6BF1">
        <w:trPr>
          <w:tblHeader/>
          <w:tblCellSpacing w:w="15" w:type="dxa"/>
        </w:trPr>
        <w:tc>
          <w:tcPr>
            <w:tcW w:w="3915" w:type="dxa"/>
            <w:vAlign w:val="center"/>
            <w:hideMark/>
          </w:tcPr>
          <w:p w14:paraId="1A63047D" w14:textId="77777777" w:rsidR="006B4879" w:rsidRPr="005C6BF1" w:rsidRDefault="006B4879" w:rsidP="005C6BF1">
            <w:pPr>
              <w:pStyle w:val="p1"/>
              <w:pBdr>
                <w:between w:val="single" w:sz="4" w:space="1" w:color="auto"/>
              </w:pBdr>
              <w:spacing w:before="0" w:beforeAutospacing="0" w:after="0" w:afterAutospacing="0" w:line="276" w:lineRule="auto"/>
              <w:jc w:val="center"/>
              <w:rPr>
                <w:rFonts w:ascii="Garamond" w:hAnsi="Garamond"/>
                <w:sz w:val="22"/>
                <w:szCs w:val="22"/>
              </w:rPr>
            </w:pPr>
            <w:r w:rsidRPr="005C6BF1">
              <w:rPr>
                <w:rFonts w:ascii="Garamond" w:hAnsi="Garamond"/>
                <w:sz w:val="22"/>
                <w:szCs w:val="22"/>
              </w:rPr>
              <w:t>201 CMR 17.00 Requirement</w:t>
            </w:r>
          </w:p>
        </w:tc>
        <w:tc>
          <w:tcPr>
            <w:tcW w:w="4740" w:type="dxa"/>
            <w:vAlign w:val="center"/>
            <w:hideMark/>
          </w:tcPr>
          <w:p w14:paraId="63AFE402" w14:textId="77777777" w:rsidR="006B4879" w:rsidRPr="005C6BF1" w:rsidRDefault="006B4879" w:rsidP="005C6BF1">
            <w:pPr>
              <w:pStyle w:val="p1"/>
              <w:pBdr>
                <w:between w:val="single" w:sz="4" w:space="1" w:color="auto"/>
              </w:pBdr>
              <w:spacing w:before="0" w:beforeAutospacing="0" w:after="0" w:afterAutospacing="0" w:line="276" w:lineRule="auto"/>
              <w:jc w:val="center"/>
              <w:rPr>
                <w:rFonts w:ascii="Garamond" w:hAnsi="Garamond"/>
                <w:sz w:val="22"/>
                <w:szCs w:val="22"/>
              </w:rPr>
            </w:pPr>
            <w:r w:rsidRPr="005C6BF1">
              <w:rPr>
                <w:rFonts w:ascii="Garamond" w:hAnsi="Garamond"/>
                <w:sz w:val="22"/>
                <w:szCs w:val="22"/>
              </w:rPr>
              <w:t>Salesforce Capability</w:t>
            </w:r>
          </w:p>
        </w:tc>
        <w:tc>
          <w:tcPr>
            <w:tcW w:w="5985" w:type="dxa"/>
            <w:vAlign w:val="center"/>
            <w:hideMark/>
          </w:tcPr>
          <w:p w14:paraId="6DCB0E32" w14:textId="77777777" w:rsidR="006B4879" w:rsidRPr="005C6BF1" w:rsidRDefault="006B4879" w:rsidP="005C6BF1">
            <w:pPr>
              <w:pStyle w:val="p1"/>
              <w:pBdr>
                <w:between w:val="single" w:sz="4" w:space="1" w:color="auto"/>
              </w:pBdr>
              <w:spacing w:before="0" w:beforeAutospacing="0" w:after="0" w:afterAutospacing="0" w:line="276" w:lineRule="auto"/>
              <w:jc w:val="center"/>
              <w:rPr>
                <w:rFonts w:ascii="Garamond" w:hAnsi="Garamond"/>
                <w:sz w:val="22"/>
                <w:szCs w:val="22"/>
              </w:rPr>
            </w:pPr>
            <w:r w:rsidRPr="005C6BF1">
              <w:rPr>
                <w:rFonts w:ascii="Garamond" w:hAnsi="Garamond"/>
                <w:sz w:val="22"/>
                <w:szCs w:val="22"/>
              </w:rPr>
              <w:t>Salesforce Evidence (Authoritative Citation)</w:t>
            </w:r>
          </w:p>
        </w:tc>
      </w:tr>
      <w:tr w:rsidR="006B4879" w:rsidRPr="005C6BF1" w14:paraId="4A7EE2BB" w14:textId="77777777" w:rsidTr="005C6BF1">
        <w:trPr>
          <w:tblCellSpacing w:w="15" w:type="dxa"/>
        </w:trPr>
        <w:tc>
          <w:tcPr>
            <w:tcW w:w="3915" w:type="dxa"/>
            <w:vAlign w:val="center"/>
            <w:hideMark/>
          </w:tcPr>
          <w:p w14:paraId="086FB514"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Unique user IDs; control of identifiers</w:t>
            </w:r>
          </w:p>
        </w:tc>
        <w:tc>
          <w:tcPr>
            <w:tcW w:w="4740" w:type="dxa"/>
            <w:vAlign w:val="center"/>
            <w:hideMark/>
          </w:tcPr>
          <w:p w14:paraId="40827D8F"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Per-user accounts, SSO/SAML, login IP restrictions</w:t>
            </w:r>
          </w:p>
        </w:tc>
        <w:tc>
          <w:tcPr>
            <w:tcW w:w="5985" w:type="dxa"/>
            <w:vAlign w:val="center"/>
            <w:hideMark/>
          </w:tcPr>
          <w:p w14:paraId="6917A0C0"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Security Guide: https://compliance.salesforce.com/en/documents/a00Kd00000z7F9LIAU</w:t>
            </w:r>
          </w:p>
        </w:tc>
      </w:tr>
      <w:tr w:rsidR="006B4879" w:rsidRPr="005C6BF1" w14:paraId="7BEF157F" w14:textId="77777777" w:rsidTr="005C6BF1">
        <w:trPr>
          <w:tblCellSpacing w:w="15" w:type="dxa"/>
        </w:trPr>
        <w:tc>
          <w:tcPr>
            <w:tcW w:w="3915" w:type="dxa"/>
            <w:vAlign w:val="center"/>
            <w:hideMark/>
          </w:tcPr>
          <w:p w14:paraId="00CCF8E1"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Passwords not vendor-supplied; strong auth</w:t>
            </w:r>
          </w:p>
        </w:tc>
        <w:tc>
          <w:tcPr>
            <w:tcW w:w="4740" w:type="dxa"/>
            <w:vAlign w:val="center"/>
            <w:hideMark/>
          </w:tcPr>
          <w:p w14:paraId="52747427"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MFA, SSO policies, configurable password policies</w:t>
            </w:r>
          </w:p>
        </w:tc>
        <w:tc>
          <w:tcPr>
            <w:tcW w:w="5985" w:type="dxa"/>
            <w:vAlign w:val="center"/>
            <w:hideMark/>
          </w:tcPr>
          <w:p w14:paraId="5898E0A6"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ISO 27001 Certificate: https://compliance.salesforce.com/en/documents/a005A00000wlSboQAE</w:t>
            </w:r>
          </w:p>
        </w:tc>
      </w:tr>
      <w:tr w:rsidR="006B4879" w:rsidRPr="005C6BF1" w14:paraId="36396107" w14:textId="77777777" w:rsidTr="005C6BF1">
        <w:trPr>
          <w:tblCellSpacing w:w="15" w:type="dxa"/>
        </w:trPr>
        <w:tc>
          <w:tcPr>
            <w:tcW w:w="3915" w:type="dxa"/>
            <w:vAlign w:val="center"/>
            <w:hideMark/>
          </w:tcPr>
          <w:p w14:paraId="1E189722"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Restrict access only to active users</w:t>
            </w:r>
          </w:p>
        </w:tc>
        <w:tc>
          <w:tcPr>
            <w:tcW w:w="4740" w:type="dxa"/>
            <w:vAlign w:val="center"/>
            <w:hideMark/>
          </w:tcPr>
          <w:p w14:paraId="306ABFB4"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User activation/deactivation controls</w:t>
            </w:r>
          </w:p>
        </w:tc>
        <w:tc>
          <w:tcPr>
            <w:tcW w:w="5985" w:type="dxa"/>
            <w:vAlign w:val="center"/>
            <w:hideMark/>
          </w:tcPr>
          <w:p w14:paraId="0A4939C1"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SOC 2 – Salesforce Services (First Party): https://compliance.salesforce.com/en/documents/a005A00000k50uvQAA</w:t>
            </w:r>
          </w:p>
        </w:tc>
      </w:tr>
      <w:tr w:rsidR="006B4879" w:rsidRPr="005C6BF1" w14:paraId="48D6C63A" w14:textId="77777777" w:rsidTr="005C6BF1">
        <w:trPr>
          <w:tblCellSpacing w:w="15" w:type="dxa"/>
        </w:trPr>
        <w:tc>
          <w:tcPr>
            <w:tcW w:w="3915" w:type="dxa"/>
            <w:vAlign w:val="center"/>
            <w:hideMark/>
          </w:tcPr>
          <w:p w14:paraId="524C210F"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Block access after failed attempts</w:t>
            </w:r>
          </w:p>
        </w:tc>
        <w:tc>
          <w:tcPr>
            <w:tcW w:w="4740" w:type="dxa"/>
            <w:vAlign w:val="center"/>
            <w:hideMark/>
          </w:tcPr>
          <w:p w14:paraId="4D9D1C48"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Login lockout thresholds</w:t>
            </w:r>
          </w:p>
        </w:tc>
        <w:tc>
          <w:tcPr>
            <w:tcW w:w="5985" w:type="dxa"/>
            <w:vAlign w:val="center"/>
            <w:hideMark/>
          </w:tcPr>
          <w:p w14:paraId="1F52DC36"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Security Guide: https://compliance.salesforce.com/en/documents/a00Kd00000z7F9LIAU</w:t>
            </w:r>
          </w:p>
        </w:tc>
      </w:tr>
      <w:tr w:rsidR="006B4879" w:rsidRPr="005C6BF1" w14:paraId="653741B3" w14:textId="77777777" w:rsidTr="005C6BF1">
        <w:trPr>
          <w:tblCellSpacing w:w="15" w:type="dxa"/>
        </w:trPr>
        <w:tc>
          <w:tcPr>
            <w:tcW w:w="3915" w:type="dxa"/>
            <w:vAlign w:val="center"/>
            <w:hideMark/>
          </w:tcPr>
          <w:p w14:paraId="727F8B44"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Need-to-know access only</w:t>
            </w:r>
          </w:p>
        </w:tc>
        <w:tc>
          <w:tcPr>
            <w:tcW w:w="4740" w:type="dxa"/>
            <w:vAlign w:val="center"/>
            <w:hideMark/>
          </w:tcPr>
          <w:p w14:paraId="220E94A2"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Profiles, Permission Sets, Sharing, FLS</w:t>
            </w:r>
          </w:p>
        </w:tc>
        <w:tc>
          <w:tcPr>
            <w:tcW w:w="5985" w:type="dxa"/>
            <w:vAlign w:val="center"/>
            <w:hideMark/>
          </w:tcPr>
          <w:p w14:paraId="2468D81B"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SPARC: https://compliance.salesforce.com/en/documents/a00Kd00000z7F9kIAE</w:t>
            </w:r>
          </w:p>
        </w:tc>
      </w:tr>
      <w:tr w:rsidR="006B4879" w:rsidRPr="005C6BF1" w14:paraId="789BC095" w14:textId="77777777" w:rsidTr="005C6BF1">
        <w:trPr>
          <w:tblCellSpacing w:w="15" w:type="dxa"/>
        </w:trPr>
        <w:tc>
          <w:tcPr>
            <w:tcW w:w="3915" w:type="dxa"/>
            <w:vAlign w:val="center"/>
            <w:hideMark/>
          </w:tcPr>
          <w:p w14:paraId="13E04B38"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Encrypt PI across public networks</w:t>
            </w:r>
          </w:p>
        </w:tc>
        <w:tc>
          <w:tcPr>
            <w:tcW w:w="4740" w:type="dxa"/>
            <w:vAlign w:val="center"/>
            <w:hideMark/>
          </w:tcPr>
          <w:p w14:paraId="1EB258FF"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TLS 1.2+ enforced</w:t>
            </w:r>
          </w:p>
        </w:tc>
        <w:tc>
          <w:tcPr>
            <w:tcW w:w="5985" w:type="dxa"/>
            <w:vAlign w:val="center"/>
            <w:hideMark/>
          </w:tcPr>
          <w:p w14:paraId="3B0CE436"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ISO 27017 Certificate: https://compliance.salesforce.com/en/documents/a005A00000wlSkSQAU</w:t>
            </w:r>
          </w:p>
        </w:tc>
      </w:tr>
      <w:tr w:rsidR="006B4879" w:rsidRPr="005C6BF1" w14:paraId="6482511F" w14:textId="77777777" w:rsidTr="005C6BF1">
        <w:trPr>
          <w:tblCellSpacing w:w="15" w:type="dxa"/>
        </w:trPr>
        <w:tc>
          <w:tcPr>
            <w:tcW w:w="3915" w:type="dxa"/>
            <w:vAlign w:val="center"/>
            <w:hideMark/>
          </w:tcPr>
          <w:p w14:paraId="0A381396"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Encrypt PI across wireless networks</w:t>
            </w:r>
          </w:p>
        </w:tc>
        <w:tc>
          <w:tcPr>
            <w:tcW w:w="4740" w:type="dxa"/>
            <w:vAlign w:val="center"/>
            <w:hideMark/>
          </w:tcPr>
          <w:p w14:paraId="245413EC"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TLS for mobile, encrypted channels</w:t>
            </w:r>
          </w:p>
        </w:tc>
        <w:tc>
          <w:tcPr>
            <w:tcW w:w="5985" w:type="dxa"/>
            <w:vAlign w:val="center"/>
            <w:hideMark/>
          </w:tcPr>
          <w:p w14:paraId="488D0193"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ISO 27017 Certificate: https://compliance.salesforce.com/en/documents/a005A00000wlSkSQAU</w:t>
            </w:r>
          </w:p>
        </w:tc>
      </w:tr>
      <w:tr w:rsidR="006B4879" w:rsidRPr="005C6BF1" w14:paraId="52CAF22C" w14:textId="77777777" w:rsidTr="005C6BF1">
        <w:trPr>
          <w:tblCellSpacing w:w="15" w:type="dxa"/>
        </w:trPr>
        <w:tc>
          <w:tcPr>
            <w:tcW w:w="3915" w:type="dxa"/>
            <w:vAlign w:val="center"/>
            <w:hideMark/>
          </w:tcPr>
          <w:p w14:paraId="766F019A"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Encryption of PI stored on portable devices</w:t>
            </w:r>
          </w:p>
        </w:tc>
        <w:tc>
          <w:tcPr>
            <w:tcW w:w="4740" w:type="dxa"/>
            <w:vAlign w:val="center"/>
            <w:hideMark/>
          </w:tcPr>
          <w:p w14:paraId="1B9D6E01"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Shield Encryption; encrypted synced storage</w:t>
            </w:r>
          </w:p>
        </w:tc>
        <w:tc>
          <w:tcPr>
            <w:tcW w:w="5985" w:type="dxa"/>
            <w:vAlign w:val="center"/>
            <w:hideMark/>
          </w:tcPr>
          <w:p w14:paraId="0191D5FD"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Shield Platform Encryption Architecture: https://compliance.salesforce.com/en/documents/a00Kd00000z7F9QIAU</w:t>
            </w:r>
          </w:p>
        </w:tc>
      </w:tr>
      <w:tr w:rsidR="006B4879" w:rsidRPr="005C6BF1" w14:paraId="59F3FAA5" w14:textId="77777777" w:rsidTr="005C6BF1">
        <w:trPr>
          <w:tblCellSpacing w:w="15" w:type="dxa"/>
        </w:trPr>
        <w:tc>
          <w:tcPr>
            <w:tcW w:w="3915" w:type="dxa"/>
            <w:vAlign w:val="center"/>
            <w:hideMark/>
          </w:tcPr>
          <w:p w14:paraId="4EB962B8"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lastRenderedPageBreak/>
              <w:t>Monitoring for unauthorized use</w:t>
            </w:r>
          </w:p>
        </w:tc>
        <w:tc>
          <w:tcPr>
            <w:tcW w:w="4740" w:type="dxa"/>
            <w:vAlign w:val="center"/>
            <w:hideMark/>
          </w:tcPr>
          <w:p w14:paraId="390CFEE4"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Event logging, Threat detection, Access monitoring</w:t>
            </w:r>
          </w:p>
        </w:tc>
        <w:tc>
          <w:tcPr>
            <w:tcW w:w="5985" w:type="dxa"/>
            <w:vAlign w:val="center"/>
            <w:hideMark/>
          </w:tcPr>
          <w:p w14:paraId="429B46B2"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 xml:space="preserve">Vulnerability </w:t>
            </w:r>
            <w:proofErr w:type="spellStart"/>
            <w:r w:rsidRPr="005C6BF1">
              <w:rPr>
                <w:rFonts w:ascii="Garamond" w:hAnsi="Garamond"/>
                <w:sz w:val="22"/>
                <w:szCs w:val="22"/>
              </w:rPr>
              <w:t>Mgmt</w:t>
            </w:r>
            <w:proofErr w:type="spellEnd"/>
            <w:r w:rsidRPr="005C6BF1">
              <w:rPr>
                <w:rFonts w:ascii="Garamond" w:hAnsi="Garamond"/>
                <w:sz w:val="22"/>
                <w:szCs w:val="22"/>
              </w:rPr>
              <w:t xml:space="preserve"> (EN): https://compliance.salesforce.com/en/documents/a006e000012uLNZAA2</w:t>
            </w:r>
          </w:p>
        </w:tc>
      </w:tr>
      <w:tr w:rsidR="006B4879" w:rsidRPr="005C6BF1" w14:paraId="4006AF25" w14:textId="77777777" w:rsidTr="005C6BF1">
        <w:trPr>
          <w:tblCellSpacing w:w="15" w:type="dxa"/>
        </w:trPr>
        <w:tc>
          <w:tcPr>
            <w:tcW w:w="3915" w:type="dxa"/>
            <w:vAlign w:val="center"/>
            <w:hideMark/>
          </w:tcPr>
          <w:p w14:paraId="7FE37FED"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Regular monitoring of systems</w:t>
            </w:r>
          </w:p>
        </w:tc>
        <w:tc>
          <w:tcPr>
            <w:tcW w:w="4740" w:type="dxa"/>
            <w:vAlign w:val="center"/>
            <w:hideMark/>
          </w:tcPr>
          <w:p w14:paraId="55AFAE31"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Continuous monitoring, audit logs</w:t>
            </w:r>
          </w:p>
        </w:tc>
        <w:tc>
          <w:tcPr>
            <w:tcW w:w="5985" w:type="dxa"/>
            <w:vAlign w:val="center"/>
            <w:hideMark/>
          </w:tcPr>
          <w:p w14:paraId="4FBA7AD2"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SOC 2 – Corporate Services: https://compliance.salesforce.com/en/documents/a005A00000nJJy0QAG</w:t>
            </w:r>
          </w:p>
        </w:tc>
      </w:tr>
      <w:tr w:rsidR="006B4879" w:rsidRPr="005C6BF1" w14:paraId="0CC53FF6" w14:textId="77777777" w:rsidTr="005C6BF1">
        <w:trPr>
          <w:tblCellSpacing w:w="15" w:type="dxa"/>
        </w:trPr>
        <w:tc>
          <w:tcPr>
            <w:tcW w:w="3915" w:type="dxa"/>
            <w:vAlign w:val="center"/>
            <w:hideMark/>
          </w:tcPr>
          <w:p w14:paraId="5B79E4A6"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Document actions taken during incidents</w:t>
            </w:r>
          </w:p>
        </w:tc>
        <w:tc>
          <w:tcPr>
            <w:tcW w:w="4740" w:type="dxa"/>
            <w:vAlign w:val="center"/>
            <w:hideMark/>
          </w:tcPr>
          <w:p w14:paraId="6E4595B5"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IR plan with documentation requirements</w:t>
            </w:r>
          </w:p>
        </w:tc>
        <w:tc>
          <w:tcPr>
            <w:tcW w:w="5985" w:type="dxa"/>
            <w:vAlign w:val="center"/>
            <w:hideMark/>
          </w:tcPr>
          <w:p w14:paraId="7E8D460C"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Incident Response Plan: https://compliance.salesforce.com/en/documents/a005A00000o3gLVQAY</w:t>
            </w:r>
          </w:p>
        </w:tc>
      </w:tr>
      <w:tr w:rsidR="006B4879" w:rsidRPr="005C6BF1" w14:paraId="6271F11B" w14:textId="77777777" w:rsidTr="005C6BF1">
        <w:trPr>
          <w:tblCellSpacing w:w="15" w:type="dxa"/>
        </w:trPr>
        <w:tc>
          <w:tcPr>
            <w:tcW w:w="3915" w:type="dxa"/>
            <w:vAlign w:val="center"/>
            <w:hideMark/>
          </w:tcPr>
          <w:p w14:paraId="06336EC0"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Post-incident review of events</w:t>
            </w:r>
          </w:p>
        </w:tc>
        <w:tc>
          <w:tcPr>
            <w:tcW w:w="4740" w:type="dxa"/>
            <w:vAlign w:val="center"/>
            <w:hideMark/>
          </w:tcPr>
          <w:p w14:paraId="7E2C7FEE"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IR postmortem and review procedures</w:t>
            </w:r>
          </w:p>
        </w:tc>
        <w:tc>
          <w:tcPr>
            <w:tcW w:w="5985" w:type="dxa"/>
            <w:vAlign w:val="center"/>
            <w:hideMark/>
          </w:tcPr>
          <w:p w14:paraId="0C34D8E8"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Enterprise Security Overview: https://compliance.salesforce.com/en/documents/a006e000010ngGsAAI</w:t>
            </w:r>
          </w:p>
        </w:tc>
      </w:tr>
      <w:tr w:rsidR="006B4879" w:rsidRPr="005C6BF1" w14:paraId="575F3EB9" w14:textId="77777777" w:rsidTr="005C6BF1">
        <w:trPr>
          <w:tblCellSpacing w:w="15" w:type="dxa"/>
        </w:trPr>
        <w:tc>
          <w:tcPr>
            <w:tcW w:w="3915" w:type="dxa"/>
            <w:vAlign w:val="center"/>
            <w:hideMark/>
          </w:tcPr>
          <w:p w14:paraId="483B74D2"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Limit PI collection</w:t>
            </w:r>
          </w:p>
        </w:tc>
        <w:tc>
          <w:tcPr>
            <w:tcW w:w="4740" w:type="dxa"/>
            <w:vAlign w:val="center"/>
            <w:hideMark/>
          </w:tcPr>
          <w:p w14:paraId="2BFD783A"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Data minimization via admin governance</w:t>
            </w:r>
          </w:p>
        </w:tc>
        <w:tc>
          <w:tcPr>
            <w:tcW w:w="5985" w:type="dxa"/>
            <w:vAlign w:val="center"/>
            <w:hideMark/>
          </w:tcPr>
          <w:p w14:paraId="35FA1E0A"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ISO 27018 Certificate: https://compliance.salesforce.com/en/documents/a005A00000wlSkmQAE</w:t>
            </w:r>
          </w:p>
        </w:tc>
      </w:tr>
      <w:tr w:rsidR="006B4879" w:rsidRPr="005C6BF1" w14:paraId="08FB45AB" w14:textId="77777777" w:rsidTr="005C6BF1">
        <w:trPr>
          <w:tblCellSpacing w:w="15" w:type="dxa"/>
        </w:trPr>
        <w:tc>
          <w:tcPr>
            <w:tcW w:w="3915" w:type="dxa"/>
            <w:vAlign w:val="center"/>
            <w:hideMark/>
          </w:tcPr>
          <w:p w14:paraId="7BF617EB"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Limit PI retention</w:t>
            </w:r>
          </w:p>
        </w:tc>
        <w:tc>
          <w:tcPr>
            <w:tcW w:w="4740" w:type="dxa"/>
            <w:vAlign w:val="center"/>
            <w:hideMark/>
          </w:tcPr>
          <w:p w14:paraId="2B0094F9"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Configurable retention policies and archiving</w:t>
            </w:r>
          </w:p>
        </w:tc>
        <w:tc>
          <w:tcPr>
            <w:tcW w:w="5985" w:type="dxa"/>
            <w:vAlign w:val="center"/>
            <w:hideMark/>
          </w:tcPr>
          <w:p w14:paraId="505FDF03"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SPARC: https://compliance.salesforce.com/en/documents/a00Kd00000z7F9kIAE</w:t>
            </w:r>
          </w:p>
        </w:tc>
      </w:tr>
      <w:tr w:rsidR="006B4879" w:rsidRPr="005C6BF1" w14:paraId="4B561073" w14:textId="77777777" w:rsidTr="005C6BF1">
        <w:trPr>
          <w:tblCellSpacing w:w="15" w:type="dxa"/>
        </w:trPr>
        <w:tc>
          <w:tcPr>
            <w:tcW w:w="3915" w:type="dxa"/>
            <w:vAlign w:val="center"/>
            <w:hideMark/>
          </w:tcPr>
          <w:p w14:paraId="2AAC60DA"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Secure physical locations storing PI</w:t>
            </w:r>
          </w:p>
        </w:tc>
        <w:tc>
          <w:tcPr>
            <w:tcW w:w="4740" w:type="dxa"/>
            <w:vAlign w:val="center"/>
            <w:hideMark/>
          </w:tcPr>
          <w:p w14:paraId="320C59B9"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Secure data centers, physical safeguards</w:t>
            </w:r>
          </w:p>
        </w:tc>
        <w:tc>
          <w:tcPr>
            <w:tcW w:w="5985" w:type="dxa"/>
            <w:vAlign w:val="center"/>
            <w:hideMark/>
          </w:tcPr>
          <w:p w14:paraId="1EDACF79"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ISO 27001 Certificate: https://compliance.salesforce.com/en/documents/a005A00000wlSboQAE</w:t>
            </w:r>
          </w:p>
        </w:tc>
      </w:tr>
      <w:tr w:rsidR="006B4879" w:rsidRPr="005C6BF1" w14:paraId="318FDECD" w14:textId="77777777" w:rsidTr="005C6BF1">
        <w:trPr>
          <w:tblCellSpacing w:w="15" w:type="dxa"/>
        </w:trPr>
        <w:tc>
          <w:tcPr>
            <w:tcW w:w="3915" w:type="dxa"/>
            <w:vAlign w:val="center"/>
            <w:hideMark/>
          </w:tcPr>
          <w:p w14:paraId="3FC1EE29"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Vendor capable of maintaining security</w:t>
            </w:r>
          </w:p>
        </w:tc>
        <w:tc>
          <w:tcPr>
            <w:tcW w:w="4740" w:type="dxa"/>
            <w:vAlign w:val="center"/>
            <w:hideMark/>
          </w:tcPr>
          <w:p w14:paraId="0DDA6155"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SOC, ISO, BCRs, third-party audits</w:t>
            </w:r>
          </w:p>
        </w:tc>
        <w:tc>
          <w:tcPr>
            <w:tcW w:w="5985" w:type="dxa"/>
            <w:vAlign w:val="center"/>
            <w:hideMark/>
          </w:tcPr>
          <w:p w14:paraId="0DD4A378"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Sub-processors &amp; Infrastructure: https://compliance.salesforce.com/en/documents/a00Kd00000z7FAnIAM</w:t>
            </w:r>
          </w:p>
        </w:tc>
      </w:tr>
      <w:tr w:rsidR="006B4879" w:rsidRPr="005C6BF1" w14:paraId="74AEC699" w14:textId="77777777" w:rsidTr="005C6BF1">
        <w:trPr>
          <w:tblCellSpacing w:w="15" w:type="dxa"/>
        </w:trPr>
        <w:tc>
          <w:tcPr>
            <w:tcW w:w="3915" w:type="dxa"/>
            <w:vAlign w:val="center"/>
            <w:hideMark/>
          </w:tcPr>
          <w:p w14:paraId="77633EC1"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Contract requires vendor security</w:t>
            </w:r>
          </w:p>
        </w:tc>
        <w:tc>
          <w:tcPr>
            <w:tcW w:w="4740" w:type="dxa"/>
            <w:vAlign w:val="center"/>
            <w:hideMark/>
          </w:tcPr>
          <w:p w14:paraId="356B5B9D"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Processor BCRs (EU/UK)</w:t>
            </w:r>
          </w:p>
        </w:tc>
        <w:tc>
          <w:tcPr>
            <w:tcW w:w="5985" w:type="dxa"/>
            <w:vAlign w:val="center"/>
            <w:hideMark/>
          </w:tcPr>
          <w:p w14:paraId="72A66648"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EU BCRs: https://compliance.salesforce.com/en/documents/a005A00000kFf5jQAC</w:t>
            </w:r>
          </w:p>
        </w:tc>
      </w:tr>
      <w:tr w:rsidR="006B4879" w:rsidRPr="005C6BF1" w14:paraId="6101DD1D" w14:textId="77777777" w:rsidTr="005C6BF1">
        <w:trPr>
          <w:tblCellSpacing w:w="15" w:type="dxa"/>
        </w:trPr>
        <w:tc>
          <w:tcPr>
            <w:tcW w:w="3915" w:type="dxa"/>
            <w:vAlign w:val="center"/>
            <w:hideMark/>
          </w:tcPr>
          <w:p w14:paraId="7005D1BE"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lastRenderedPageBreak/>
              <w:t>Immediate blocking of terminated employees</w:t>
            </w:r>
          </w:p>
        </w:tc>
        <w:tc>
          <w:tcPr>
            <w:tcW w:w="4740" w:type="dxa"/>
            <w:vAlign w:val="center"/>
            <w:hideMark/>
          </w:tcPr>
          <w:p w14:paraId="2A4C5119"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Immediate user deactivation and token revocation</w:t>
            </w:r>
          </w:p>
        </w:tc>
        <w:tc>
          <w:tcPr>
            <w:tcW w:w="5985" w:type="dxa"/>
            <w:vAlign w:val="center"/>
            <w:hideMark/>
          </w:tcPr>
          <w:p w14:paraId="4CCFF549"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SOC 2 – First Party: https://compliance.salesforce.com/en/documents/a005A00000k50uvQAA</w:t>
            </w:r>
          </w:p>
        </w:tc>
      </w:tr>
      <w:tr w:rsidR="006B4879" w:rsidRPr="005C6BF1" w14:paraId="6804BB55" w14:textId="77777777" w:rsidTr="005C6BF1">
        <w:trPr>
          <w:tblCellSpacing w:w="15" w:type="dxa"/>
        </w:trPr>
        <w:tc>
          <w:tcPr>
            <w:tcW w:w="3915" w:type="dxa"/>
            <w:vAlign w:val="center"/>
            <w:hideMark/>
          </w:tcPr>
          <w:p w14:paraId="1F8C9B72"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Employee security training</w:t>
            </w:r>
          </w:p>
        </w:tc>
        <w:tc>
          <w:tcPr>
            <w:tcW w:w="4740" w:type="dxa"/>
            <w:vAlign w:val="center"/>
            <w:hideMark/>
          </w:tcPr>
          <w:p w14:paraId="70342C31"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Salesforce’s security training &amp; admin responsibilities</w:t>
            </w:r>
          </w:p>
        </w:tc>
        <w:tc>
          <w:tcPr>
            <w:tcW w:w="5985" w:type="dxa"/>
            <w:vAlign w:val="center"/>
            <w:hideMark/>
          </w:tcPr>
          <w:p w14:paraId="1C905475"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Enterprise Security Overview: https://compliance.salesforce.com/en/documents/a006e000010ngGsAAI</w:t>
            </w:r>
          </w:p>
        </w:tc>
      </w:tr>
      <w:tr w:rsidR="006B4879" w:rsidRPr="005C6BF1" w14:paraId="5F5EDEBD" w14:textId="77777777" w:rsidTr="005C6BF1">
        <w:trPr>
          <w:tblCellSpacing w:w="15" w:type="dxa"/>
        </w:trPr>
        <w:tc>
          <w:tcPr>
            <w:tcW w:w="3915" w:type="dxa"/>
            <w:vAlign w:val="center"/>
            <w:hideMark/>
          </w:tcPr>
          <w:p w14:paraId="189399E0"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Secure authentication protocols</w:t>
            </w:r>
          </w:p>
        </w:tc>
        <w:tc>
          <w:tcPr>
            <w:tcW w:w="4740" w:type="dxa"/>
            <w:vAlign w:val="center"/>
            <w:hideMark/>
          </w:tcPr>
          <w:p w14:paraId="7182F2B9"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MFA, OAuth, SSO, IP Allowlisting</w:t>
            </w:r>
          </w:p>
        </w:tc>
        <w:tc>
          <w:tcPr>
            <w:tcW w:w="5985" w:type="dxa"/>
            <w:vAlign w:val="center"/>
            <w:hideMark/>
          </w:tcPr>
          <w:p w14:paraId="47A6A6EE"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Security Guide: https://compliance.salesforce.com/en/documents/a00Kd00000z7F9LIAU</w:t>
            </w:r>
          </w:p>
        </w:tc>
      </w:tr>
      <w:tr w:rsidR="006B4879" w:rsidRPr="005C6BF1" w14:paraId="17C6A1D1" w14:textId="77777777" w:rsidTr="005C6BF1">
        <w:trPr>
          <w:tblCellSpacing w:w="15" w:type="dxa"/>
        </w:trPr>
        <w:tc>
          <w:tcPr>
            <w:tcW w:w="3915" w:type="dxa"/>
            <w:vAlign w:val="center"/>
            <w:hideMark/>
          </w:tcPr>
          <w:p w14:paraId="5593D02D"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Firewalls, OS patches on connected systems</w:t>
            </w:r>
          </w:p>
        </w:tc>
        <w:tc>
          <w:tcPr>
            <w:tcW w:w="4740" w:type="dxa"/>
            <w:vAlign w:val="center"/>
            <w:hideMark/>
          </w:tcPr>
          <w:p w14:paraId="22A62E2F"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Salesforce patching, perimeter protections</w:t>
            </w:r>
          </w:p>
        </w:tc>
        <w:tc>
          <w:tcPr>
            <w:tcW w:w="5985" w:type="dxa"/>
            <w:vAlign w:val="center"/>
            <w:hideMark/>
          </w:tcPr>
          <w:p w14:paraId="5C4680C3"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DDoS Mitigation Overview: https://compliance.salesforce.com/en/documents/a006e000012P2lCAAS</w:t>
            </w:r>
          </w:p>
        </w:tc>
      </w:tr>
      <w:tr w:rsidR="006B4879" w:rsidRPr="005C6BF1" w14:paraId="2620014B" w14:textId="77777777" w:rsidTr="005C6BF1">
        <w:trPr>
          <w:trHeight w:val="429"/>
          <w:tblCellSpacing w:w="15" w:type="dxa"/>
        </w:trPr>
        <w:tc>
          <w:tcPr>
            <w:tcW w:w="3915" w:type="dxa"/>
            <w:vAlign w:val="center"/>
            <w:hideMark/>
          </w:tcPr>
          <w:p w14:paraId="3A3A94C2"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Malware / antivirus protections</w:t>
            </w:r>
          </w:p>
        </w:tc>
        <w:tc>
          <w:tcPr>
            <w:tcW w:w="4740" w:type="dxa"/>
            <w:vAlign w:val="center"/>
            <w:hideMark/>
          </w:tcPr>
          <w:p w14:paraId="7469BB67"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Vulnerability scanning, malware defenses</w:t>
            </w:r>
          </w:p>
        </w:tc>
        <w:tc>
          <w:tcPr>
            <w:tcW w:w="5985" w:type="dxa"/>
            <w:vAlign w:val="center"/>
            <w:hideMark/>
          </w:tcPr>
          <w:p w14:paraId="174751F6" w14:textId="77777777" w:rsidR="006B4879" w:rsidRPr="005C6BF1" w:rsidRDefault="006B4879" w:rsidP="005C6BF1">
            <w:pPr>
              <w:pStyle w:val="p1"/>
              <w:pBdr>
                <w:between w:val="single" w:sz="4" w:space="1" w:color="auto"/>
              </w:pBdr>
              <w:spacing w:before="0" w:beforeAutospacing="0" w:after="0" w:afterAutospacing="0" w:line="276" w:lineRule="auto"/>
              <w:rPr>
                <w:rFonts w:ascii="Garamond" w:hAnsi="Garamond"/>
                <w:sz w:val="22"/>
                <w:szCs w:val="22"/>
              </w:rPr>
            </w:pPr>
            <w:r w:rsidRPr="005C6BF1">
              <w:rPr>
                <w:rFonts w:ascii="Garamond" w:hAnsi="Garamond"/>
                <w:sz w:val="22"/>
                <w:szCs w:val="22"/>
              </w:rPr>
              <w:t>PCI ASV Scan – Core: https://compliance.salesforce.com/en/documents/a005A00000k4aygQAA</w:t>
            </w:r>
          </w:p>
        </w:tc>
      </w:tr>
    </w:tbl>
    <w:p w14:paraId="34DE5331" w14:textId="4E79F856" w:rsidR="006B4879" w:rsidRPr="006B4879" w:rsidRDefault="006B4879" w:rsidP="005C6BF1">
      <w:pPr>
        <w:spacing w:line="276" w:lineRule="auto"/>
        <w:rPr>
          <w:rStyle w:val="s1"/>
          <w:rFonts w:ascii="Garamond" w:hAnsi="Garamond"/>
        </w:rPr>
      </w:pPr>
    </w:p>
    <w:p w14:paraId="502A5A70" w14:textId="77777777" w:rsidR="006B4879" w:rsidRPr="006B4879" w:rsidRDefault="006B4879" w:rsidP="006B4879">
      <w:pPr>
        <w:rPr>
          <w:rFonts w:ascii="Garamond" w:hAnsi="Garamond"/>
        </w:rPr>
      </w:pPr>
    </w:p>
    <w:p w14:paraId="3315B030" w14:textId="3D650F6E" w:rsidR="003C1A11" w:rsidRPr="006B4879" w:rsidRDefault="00114183">
      <w:pPr>
        <w:rPr>
          <w:rFonts w:ascii="Garamond" w:hAnsi="Garamond"/>
        </w:rPr>
      </w:pPr>
      <w:r w:rsidRPr="00114183">
        <w:rPr>
          <w:rFonts w:ascii="Garamond" w:hAnsi="Garamond"/>
        </w:rPr>
        <w:t>Licensed under CC BY-NC-ND 4.0. © 2025 Lisa Oliveira.</w:t>
      </w:r>
    </w:p>
    <w:sectPr w:rsidR="003C1A11" w:rsidRPr="006B4879">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C81"/>
    <w:multiLevelType w:val="multilevel"/>
    <w:tmpl w:val="570C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3430A"/>
    <w:multiLevelType w:val="multilevel"/>
    <w:tmpl w:val="4CA4B6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21B1340"/>
    <w:multiLevelType w:val="multilevel"/>
    <w:tmpl w:val="6E44B1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A66D18"/>
    <w:multiLevelType w:val="multilevel"/>
    <w:tmpl w:val="1BDAE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3D4CDC"/>
    <w:multiLevelType w:val="multilevel"/>
    <w:tmpl w:val="A2E8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D47F3D"/>
    <w:multiLevelType w:val="multilevel"/>
    <w:tmpl w:val="348081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2082276">
    <w:abstractNumId w:val="1"/>
  </w:num>
  <w:num w:numId="2" w16cid:durableId="1992517596">
    <w:abstractNumId w:val="0"/>
  </w:num>
  <w:num w:numId="3" w16cid:durableId="233316474">
    <w:abstractNumId w:val="4"/>
  </w:num>
  <w:num w:numId="4" w16cid:durableId="1739789268">
    <w:abstractNumId w:val="3"/>
  </w:num>
  <w:num w:numId="5" w16cid:durableId="435104236">
    <w:abstractNumId w:val="2"/>
  </w:num>
  <w:num w:numId="6" w16cid:durableId="4136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A11"/>
    <w:rsid w:val="00010587"/>
    <w:rsid w:val="00091509"/>
    <w:rsid w:val="00114183"/>
    <w:rsid w:val="00266DED"/>
    <w:rsid w:val="003C1A11"/>
    <w:rsid w:val="003C58DE"/>
    <w:rsid w:val="00492C3C"/>
    <w:rsid w:val="0053603A"/>
    <w:rsid w:val="00580DFE"/>
    <w:rsid w:val="005C6BF1"/>
    <w:rsid w:val="00674FCE"/>
    <w:rsid w:val="006B4879"/>
    <w:rsid w:val="007B46EF"/>
    <w:rsid w:val="007F3249"/>
    <w:rsid w:val="00860172"/>
    <w:rsid w:val="00917AB2"/>
    <w:rsid w:val="00D86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900CE"/>
  <w15:docId w15:val="{3CCA8F02-8B0C-9F42-B8B6-8962346C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1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31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965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E31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AE312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E312C"/>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E3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E312C"/>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F96575"/>
    <w:pPr>
      <w:spacing w:after="0" w:line="240" w:lineRule="auto"/>
    </w:pPr>
  </w:style>
  <w:style w:type="character" w:styleId="CommentReference">
    <w:name w:val="annotation reference"/>
    <w:basedOn w:val="DefaultParagraphFont"/>
    <w:uiPriority w:val="99"/>
    <w:semiHidden/>
    <w:unhideWhenUsed/>
    <w:rsid w:val="00F96575"/>
    <w:rPr>
      <w:sz w:val="16"/>
      <w:szCs w:val="16"/>
    </w:rPr>
  </w:style>
  <w:style w:type="paragraph" w:styleId="CommentText">
    <w:name w:val="annotation text"/>
    <w:basedOn w:val="Normal"/>
    <w:link w:val="CommentTextChar"/>
    <w:uiPriority w:val="99"/>
    <w:semiHidden/>
    <w:unhideWhenUsed/>
    <w:rsid w:val="00F96575"/>
    <w:pPr>
      <w:spacing w:line="240" w:lineRule="auto"/>
    </w:pPr>
    <w:rPr>
      <w:sz w:val="20"/>
      <w:szCs w:val="20"/>
    </w:rPr>
  </w:style>
  <w:style w:type="character" w:customStyle="1" w:styleId="CommentTextChar">
    <w:name w:val="Comment Text Char"/>
    <w:basedOn w:val="DefaultParagraphFont"/>
    <w:link w:val="CommentText"/>
    <w:uiPriority w:val="99"/>
    <w:semiHidden/>
    <w:rsid w:val="00F96575"/>
    <w:rPr>
      <w:sz w:val="20"/>
      <w:szCs w:val="20"/>
    </w:rPr>
  </w:style>
  <w:style w:type="paragraph" w:styleId="CommentSubject">
    <w:name w:val="annotation subject"/>
    <w:basedOn w:val="CommentText"/>
    <w:next w:val="CommentText"/>
    <w:link w:val="CommentSubjectChar"/>
    <w:uiPriority w:val="99"/>
    <w:semiHidden/>
    <w:unhideWhenUsed/>
    <w:rsid w:val="00F96575"/>
    <w:rPr>
      <w:b/>
      <w:bCs/>
    </w:rPr>
  </w:style>
  <w:style w:type="character" w:customStyle="1" w:styleId="CommentSubjectChar">
    <w:name w:val="Comment Subject Char"/>
    <w:basedOn w:val="CommentTextChar"/>
    <w:link w:val="CommentSubject"/>
    <w:uiPriority w:val="99"/>
    <w:semiHidden/>
    <w:rsid w:val="00F96575"/>
    <w:rPr>
      <w:b/>
      <w:bCs/>
      <w:sz w:val="20"/>
      <w:szCs w:val="20"/>
    </w:rPr>
  </w:style>
  <w:style w:type="paragraph" w:styleId="BalloonText">
    <w:name w:val="Balloon Text"/>
    <w:basedOn w:val="Normal"/>
    <w:link w:val="BalloonTextChar"/>
    <w:uiPriority w:val="99"/>
    <w:semiHidden/>
    <w:unhideWhenUsed/>
    <w:rsid w:val="00F965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6575"/>
    <w:rPr>
      <w:rFonts w:ascii="Segoe UI" w:hAnsi="Segoe UI" w:cs="Segoe UI"/>
      <w:sz w:val="18"/>
      <w:szCs w:val="18"/>
    </w:rPr>
  </w:style>
  <w:style w:type="character" w:customStyle="1" w:styleId="Heading3Char">
    <w:name w:val="Heading 3 Char"/>
    <w:basedOn w:val="DefaultParagraphFont"/>
    <w:link w:val="Heading3"/>
    <w:uiPriority w:val="9"/>
    <w:rsid w:val="00F96575"/>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474D7B"/>
    <w:rPr>
      <w:b/>
      <w:bCs/>
    </w:rPr>
  </w:style>
  <w:style w:type="paragraph" w:styleId="Header">
    <w:name w:val="header"/>
    <w:basedOn w:val="Normal"/>
    <w:link w:val="HeaderChar"/>
    <w:uiPriority w:val="99"/>
    <w:unhideWhenUsed/>
    <w:rsid w:val="00476A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A39"/>
  </w:style>
  <w:style w:type="paragraph" w:styleId="Footer">
    <w:name w:val="footer"/>
    <w:basedOn w:val="Normal"/>
    <w:link w:val="FooterChar"/>
    <w:uiPriority w:val="99"/>
    <w:unhideWhenUsed/>
    <w:rsid w:val="00476A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A39"/>
  </w:style>
  <w:style w:type="character" w:styleId="Hyperlink">
    <w:name w:val="Hyperlink"/>
    <w:basedOn w:val="DefaultParagraphFont"/>
    <w:uiPriority w:val="99"/>
    <w:unhideWhenUsed/>
    <w:rsid w:val="00E61FB2"/>
    <w:rPr>
      <w:color w:val="0563C1" w:themeColor="hyperlink"/>
      <w:u w:val="single"/>
    </w:rPr>
  </w:style>
  <w:style w:type="paragraph" w:styleId="FootnoteText">
    <w:name w:val="footnote text"/>
    <w:basedOn w:val="Normal"/>
    <w:link w:val="FootnoteTextChar"/>
    <w:uiPriority w:val="99"/>
    <w:semiHidden/>
    <w:unhideWhenUsed/>
    <w:rsid w:val="00E61FB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1FB2"/>
    <w:rPr>
      <w:sz w:val="20"/>
      <w:szCs w:val="20"/>
    </w:rPr>
  </w:style>
  <w:style w:type="character" w:styleId="FootnoteReference">
    <w:name w:val="footnote reference"/>
    <w:basedOn w:val="DefaultParagraphFont"/>
    <w:uiPriority w:val="99"/>
    <w:semiHidden/>
    <w:unhideWhenUsed/>
    <w:rsid w:val="00E61FB2"/>
    <w:rPr>
      <w:vertAlign w:val="superscript"/>
    </w:rPr>
  </w:style>
  <w:style w:type="paragraph" w:styleId="ListParagraph">
    <w:name w:val="List Paragraph"/>
    <w:basedOn w:val="Normal"/>
    <w:uiPriority w:val="34"/>
    <w:qFormat/>
    <w:rsid w:val="006330C6"/>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D868E7"/>
    <w:rPr>
      <w:color w:val="605E5C"/>
      <w:shd w:val="clear" w:color="auto" w:fill="E1DFDD"/>
    </w:rPr>
  </w:style>
  <w:style w:type="paragraph" w:customStyle="1" w:styleId="p1">
    <w:name w:val="p1"/>
    <w:basedOn w:val="Normal"/>
    <w:rsid w:val="00D868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10587"/>
  </w:style>
  <w:style w:type="character" w:customStyle="1" w:styleId="s1">
    <w:name w:val="s1"/>
    <w:basedOn w:val="DefaultParagraphFont"/>
    <w:rsid w:val="0053603A"/>
  </w:style>
  <w:style w:type="paragraph" w:customStyle="1" w:styleId="p2">
    <w:name w:val="p2"/>
    <w:basedOn w:val="Normal"/>
    <w:rsid w:val="005360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5360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53603A"/>
  </w:style>
  <w:style w:type="character" w:customStyle="1" w:styleId="s3">
    <w:name w:val="s3"/>
    <w:basedOn w:val="DefaultParagraphFont"/>
    <w:rsid w:val="0053603A"/>
  </w:style>
  <w:style w:type="paragraph" w:customStyle="1" w:styleId="paragraph">
    <w:name w:val="paragraph"/>
    <w:basedOn w:val="Normal"/>
    <w:rsid w:val="00917A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17AB2"/>
  </w:style>
  <w:style w:type="character" w:customStyle="1" w:styleId="eop">
    <w:name w:val="eop"/>
    <w:basedOn w:val="DefaultParagraphFont"/>
    <w:rsid w:val="00917A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Wkxd3nbCm/t+6mv9xOT9WX+LVQ==">CgMxLjA4AGolChRzdWdnZXN0Lm1zaGRwNTcyNzhxZRINS2ltYmVybHkgRm9yZGolChRzdWdnZXN0LjIwbjl3aGgzczRqeRINS2ltYmVybHkgRm9yZGolChRzdWdnZXN0LnRoM2Q4cDF2M2ttZBINS2ltYmVybHkgRm9yZHIhMUc0eEU1UElJQlVNR0IxTTB4dDZXM3N1QjNpcDhjX3lW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Compeau, Deborah</dc:creator>
  <cp:lastModifiedBy>Lisa Oliveira</cp:lastModifiedBy>
  <cp:revision>3</cp:revision>
  <dcterms:created xsi:type="dcterms:W3CDTF">2025-11-30T02:39:00Z</dcterms:created>
  <dcterms:modified xsi:type="dcterms:W3CDTF">2025-11-30T02:49:00Z</dcterms:modified>
</cp:coreProperties>
</file>